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2018年度新疆喀什地区英吉沙县旅游局部门决算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1、贯彻执行国家旅游业政策、标准、规划，结合英吉沙县实际制定研究英吉沙县旅游业发展，并组织实施。</w:t>
      </w:r>
      <w:r>
        <w:rPr>
          <w:rFonts w:hint="eastAsia" w:ascii="仿宋_GB2312" w:eastAsia="仿宋_GB2312"/>
          <w:sz w:val="32"/>
          <w:szCs w:val="32"/>
        </w:rPr>
        <w:br w:type="textWrapping"/>
      </w:r>
      <w:r>
        <w:rPr>
          <w:rFonts w:hint="eastAsia" w:ascii="仿宋_GB2312" w:eastAsia="仿宋_GB2312"/>
          <w:sz w:val="32"/>
          <w:szCs w:val="32"/>
        </w:rPr>
        <w:t xml:space="preserve">    2、研究拟定英吉沙县、国内旅游市场开发战略，组织英吉沙县旅游整体形象的对外宣传和重大促销活动，组织、指导重要旅游产品的开发。</w:t>
      </w:r>
      <w:r>
        <w:rPr>
          <w:rFonts w:hint="eastAsia" w:ascii="仿宋_GB2312" w:eastAsia="仿宋_GB2312"/>
          <w:sz w:val="32"/>
          <w:szCs w:val="32"/>
        </w:rPr>
        <w:br w:type="textWrapping"/>
      </w:r>
      <w:r>
        <w:rPr>
          <w:rFonts w:hint="eastAsia" w:ascii="仿宋_GB2312" w:eastAsia="仿宋_GB2312"/>
          <w:sz w:val="32"/>
          <w:szCs w:val="32"/>
        </w:rPr>
        <w:t xml:space="preserve">    3、负责全县旅游安全的综合协调和监督管理。</w:t>
      </w:r>
      <w:r>
        <w:rPr>
          <w:rFonts w:hint="eastAsia" w:ascii="仿宋_GB2312" w:eastAsia="仿宋_GB2312"/>
          <w:sz w:val="32"/>
          <w:szCs w:val="32"/>
        </w:rPr>
        <w:br w:type="textWrapping"/>
      </w:r>
      <w:r>
        <w:rPr>
          <w:rFonts w:hint="eastAsia" w:ascii="仿宋_GB2312" w:eastAsia="仿宋_GB2312"/>
          <w:sz w:val="32"/>
          <w:szCs w:val="32"/>
        </w:rPr>
        <w:t xml:space="preserve">    4、负责全县旅行社的监督管理工作。</w:t>
      </w:r>
      <w:r>
        <w:rPr>
          <w:rFonts w:hint="eastAsia" w:ascii="仿宋_GB2312" w:eastAsia="仿宋_GB2312"/>
          <w:sz w:val="32"/>
          <w:szCs w:val="32"/>
        </w:rPr>
        <w:br w:type="textWrapping"/>
      </w:r>
      <w:r>
        <w:rPr>
          <w:rFonts w:hint="eastAsia" w:ascii="仿宋_GB2312" w:eastAsia="仿宋_GB2312"/>
          <w:sz w:val="32"/>
          <w:szCs w:val="32"/>
        </w:rPr>
        <w:t xml:space="preserve">    5、承担经营旅游业务企事业单位的行业管理工作。</w:t>
      </w:r>
      <w:r>
        <w:rPr>
          <w:rFonts w:hint="eastAsia" w:ascii="仿宋_GB2312" w:eastAsia="仿宋_GB2312"/>
          <w:sz w:val="32"/>
          <w:szCs w:val="32"/>
        </w:rPr>
        <w:br w:type="textWrapping"/>
      </w:r>
      <w:r>
        <w:rPr>
          <w:rFonts w:hint="eastAsia" w:ascii="仿宋_GB2312" w:eastAsia="仿宋_GB2312"/>
          <w:sz w:val="32"/>
          <w:szCs w:val="32"/>
        </w:rPr>
        <w:t xml:space="preserve">    6、承担规范旅游市场秩序、监督管理服务质量、维护旅游消费者合法权益的责任，规范旅游企业和从业人员的经营和服务行为。</w:t>
      </w:r>
      <w:r>
        <w:rPr>
          <w:rFonts w:hint="eastAsia" w:ascii="仿宋_GB2312" w:eastAsia="仿宋_GB2312"/>
          <w:sz w:val="32"/>
          <w:szCs w:val="32"/>
        </w:rPr>
        <w:br w:type="textWrapping"/>
      </w:r>
      <w:r>
        <w:rPr>
          <w:rFonts w:hint="eastAsia" w:ascii="仿宋_GB2312" w:eastAsia="仿宋_GB2312"/>
          <w:sz w:val="32"/>
          <w:szCs w:val="32"/>
        </w:rPr>
        <w:t xml:space="preserve">    7、指导旅游旅游对外交流和合作，指导旅游行业精神文明建设及评先选优工作；推进旅游信息化建设工作。</w:t>
      </w:r>
      <w:r>
        <w:rPr>
          <w:rFonts w:hint="eastAsia" w:ascii="仿宋_GB2312" w:eastAsia="仿宋_GB2312"/>
          <w:sz w:val="32"/>
          <w:szCs w:val="32"/>
        </w:rPr>
        <w:br w:type="textWrapping"/>
      </w:r>
      <w:r>
        <w:rPr>
          <w:rFonts w:hint="eastAsia" w:ascii="仿宋_GB2312" w:eastAsia="仿宋_GB2312"/>
          <w:sz w:val="32"/>
          <w:szCs w:val="32"/>
        </w:rPr>
        <w:t xml:space="preserve">    8、制定并组织实施旅游人才规划，指导旅游教育、培训工作。</w:t>
      </w:r>
      <w:r>
        <w:rPr>
          <w:rFonts w:hint="eastAsia" w:ascii="仿宋_GB2312" w:eastAsia="仿宋_GB2312"/>
          <w:sz w:val="32"/>
          <w:szCs w:val="32"/>
        </w:rPr>
        <w:br w:type="textWrapping"/>
      </w:r>
      <w:r>
        <w:rPr>
          <w:rFonts w:hint="eastAsia" w:ascii="仿宋_GB2312" w:eastAsia="仿宋_GB2312"/>
          <w:sz w:val="32"/>
          <w:szCs w:val="32"/>
        </w:rPr>
        <w:t xml:space="preserve">    9、负责旅游执法工作，积极开展旅游市场执法检查。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新疆喀什地区英吉沙县旅游局</w:t>
      </w:r>
      <w:r>
        <w:rPr>
          <w:rFonts w:hint="eastAsia" w:ascii="仿宋_GB2312" w:eastAsia="仿宋_GB2312"/>
          <w:sz w:val="32"/>
          <w:szCs w:val="32"/>
        </w:rPr>
        <w:t>部门决算包括：</w:t>
      </w:r>
      <w:r>
        <w:rPr>
          <w:rFonts w:ascii="仿宋_GB2312" w:eastAsia="仿宋_GB2312"/>
          <w:sz w:val="32"/>
          <w:szCs w:val="32"/>
        </w:rPr>
        <w:t>新疆喀什地区英吉沙县旅游局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新疆喀什地区英吉沙县旅游局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序号</w:t>
            </w:r>
          </w:p>
        </w:tc>
        <w:tc>
          <w:tcPr>
            <w:tcW w:w="3870"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新疆喀什地区英吉沙县旅游局</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bookmarkStart w:id="4" w:name="OLE_LINK100"/>
      <w:bookmarkStart w:id="5" w:name="OLE_LINK99"/>
      <w:bookmarkStart w:id="6" w:name="OLE_LINK52"/>
      <w:r>
        <w:rPr>
          <w:rFonts w:hint="eastAsia" w:ascii="仿宋_GB2312" w:eastAsia="仿宋_GB2312"/>
          <w:color w:val="000000" w:themeColor="text1"/>
          <w:sz w:val="32"/>
          <w:szCs w:val="32"/>
          <w14:textFill>
            <w14:solidFill>
              <w14:schemeClr w14:val="tx1"/>
            </w14:solidFill>
          </w14:textFill>
        </w:rPr>
        <w:t>2018年度收入</w:t>
      </w:r>
      <w:r>
        <w:rPr>
          <w:rFonts w:hint="eastAsia" w:ascii="仿宋_GB2312" w:eastAsia="仿宋_GB2312"/>
          <w:sz w:val="32"/>
          <w:szCs w:val="32"/>
        </w:rPr>
        <w:t>690.13</w:t>
      </w:r>
      <w:r>
        <w:rPr>
          <w:rFonts w:hint="eastAsia" w:ascii="仿宋_GB2312" w:eastAsia="仿宋_GB2312"/>
          <w:color w:val="000000" w:themeColor="text1"/>
          <w:sz w:val="32"/>
          <w:szCs w:val="32"/>
          <w14:textFill>
            <w14:solidFill>
              <w14:schemeClr w14:val="tx1"/>
            </w14:solidFill>
          </w14:textFill>
        </w:rPr>
        <w:t>万元</w:t>
      </w:r>
      <w:bookmarkEnd w:id="4"/>
      <w:bookmarkEnd w:id="5"/>
      <w:r>
        <w:rPr>
          <w:rFonts w:hint="eastAsia" w:ascii="仿宋_GB2312" w:eastAsia="仿宋_GB2312"/>
          <w:sz w:val="32"/>
          <w:szCs w:val="32"/>
        </w:rPr>
        <w:t>，与上年相比，增加603.46万元，增长696.27%，增加的主要原因是：</w:t>
      </w:r>
      <w:r>
        <w:rPr>
          <w:rFonts w:hint="eastAsia" w:ascii="仿宋_GB2312" w:eastAsia="仿宋_GB2312"/>
          <w:color w:val="000000" w:themeColor="text1"/>
          <w:sz w:val="32"/>
          <w:szCs w:val="32"/>
          <w14:textFill>
            <w14:solidFill>
              <w14:schemeClr w14:val="tx1"/>
            </w14:solidFill>
          </w14:textFill>
        </w:rPr>
        <w:t>增加了南湖景区项目款收入；</w:t>
      </w:r>
      <w:bookmarkEnd w:id="6"/>
      <w:bookmarkStart w:id="7" w:name="OLE_LINK53"/>
      <w:r>
        <w:rPr>
          <w:rFonts w:hint="eastAsia" w:ascii="仿宋_GB2312" w:eastAsia="仿宋_GB2312"/>
          <w:color w:val="000000" w:themeColor="text1"/>
          <w:sz w:val="32"/>
          <w:szCs w:val="32"/>
          <w14:textFill>
            <w14:solidFill>
              <w14:schemeClr w14:val="tx1"/>
            </w14:solidFill>
          </w14:textFill>
        </w:rPr>
        <w:t>支出</w:t>
      </w:r>
      <w:r>
        <w:rPr>
          <w:rFonts w:hint="eastAsia" w:ascii="仿宋_GB2312" w:eastAsia="仿宋_GB2312"/>
          <w:sz w:val="32"/>
          <w:szCs w:val="32"/>
        </w:rPr>
        <w:t>690.13</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，与上年相比，增加603.46万元，增长696.27%，增加的主要原因是：</w:t>
      </w:r>
      <w:r>
        <w:rPr>
          <w:rFonts w:hint="eastAsia" w:ascii="仿宋_GB2312" w:eastAsia="仿宋_GB2312"/>
          <w:color w:val="000000" w:themeColor="text1"/>
          <w:sz w:val="32"/>
          <w:szCs w:val="32"/>
          <w14:textFill>
            <w14:solidFill>
              <w14:schemeClr w14:val="tx1"/>
            </w14:solidFill>
          </w14:textFill>
        </w:rPr>
        <w:t>增加了南湖景区项目支出；</w:t>
      </w:r>
      <w:bookmarkEnd w:id="7"/>
      <w:bookmarkStart w:id="8" w:name="OLE_LINK54"/>
      <w:r>
        <w:rPr>
          <w:rFonts w:hint="eastAsia" w:ascii="仿宋_GB2312" w:eastAsia="仿宋_GB2312"/>
          <w:color w:val="000000" w:themeColor="text1"/>
          <w:sz w:val="32"/>
          <w:szCs w:val="32"/>
          <w14:textFill>
            <w14:solidFill>
              <w14:schemeClr w14:val="tx1"/>
            </w14:solidFill>
          </w14:textFill>
        </w:rPr>
        <w:t>结余</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ascii="仿宋_GB2312" w:eastAsia="仿宋_GB2312"/>
          <w:color w:val="000000" w:themeColor="text1"/>
          <w:sz w:val="32"/>
          <w:szCs w:val="32"/>
          <w14:textFill>
            <w14:solidFill>
              <w14:schemeClr w14:val="tx1"/>
            </w14:solidFill>
          </w14:textFill>
        </w:rPr>
        <w:t>项目执行到位，资金无结余。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本年收入合计</w:t>
      </w:r>
      <w:r>
        <w:rPr>
          <w:rFonts w:hint="eastAsia" w:ascii="仿宋_GB2312" w:eastAsia="仿宋_GB2312"/>
          <w:sz w:val="32"/>
          <w:szCs w:val="32"/>
        </w:rPr>
        <w:t>690.13</w:t>
      </w:r>
      <w:r>
        <w:rPr>
          <w:rFonts w:hint="eastAsia" w:ascii="仿宋_GB2312" w:eastAsia="仿宋_GB2312"/>
          <w:color w:val="000000" w:themeColor="text1"/>
          <w:sz w:val="32"/>
          <w:szCs w:val="32"/>
          <w14:textFill>
            <w14:solidFill>
              <w14:schemeClr w14:val="tx1"/>
            </w14:solidFill>
          </w14:textFill>
        </w:rPr>
        <w:t>万元，其中：</w:t>
      </w:r>
      <w:bookmarkStart w:id="9" w:name="OLE_LINK1"/>
      <w:r>
        <w:rPr>
          <w:rFonts w:hint="eastAsia" w:ascii="仿宋_GB2312" w:eastAsia="仿宋_GB2312"/>
          <w:color w:val="000000" w:themeColor="text1"/>
          <w:sz w:val="32"/>
          <w:szCs w:val="32"/>
          <w14:textFill>
            <w14:solidFill>
              <w14:schemeClr w14:val="tx1"/>
            </w14:solidFill>
          </w14:textFill>
        </w:rPr>
        <w:t>财政拨款收入</w:t>
      </w:r>
      <w:bookmarkEnd w:id="9"/>
      <w:r>
        <w:rPr>
          <w:rFonts w:hint="eastAsia" w:ascii="仿宋_GB2312" w:eastAsia="仿宋_GB2312"/>
          <w:sz w:val="32"/>
          <w:szCs w:val="32"/>
        </w:rPr>
        <w:t>353.72</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51.25%</w:t>
      </w:r>
      <w:r>
        <w:rPr>
          <w:rFonts w:hint="eastAsia" w:ascii="仿宋_GB2312" w:eastAsia="仿宋_GB2312"/>
          <w:color w:val="000000" w:themeColor="text1"/>
          <w:sz w:val="32"/>
          <w:szCs w:val="32"/>
          <w14:textFill>
            <w14:solidFill>
              <w14:schemeClr w14:val="tx1"/>
            </w14:solidFill>
          </w14:textFill>
        </w:rPr>
        <w:t>；</w:t>
      </w:r>
      <w:bookmarkStart w:id="10" w:name="OLE_LINK2"/>
      <w:r>
        <w:rPr>
          <w:rFonts w:hint="eastAsia" w:ascii="仿宋_GB2312" w:eastAsia="仿宋_GB2312"/>
          <w:color w:val="000000" w:themeColor="text1"/>
          <w:sz w:val="32"/>
          <w:szCs w:val="32"/>
          <w14:textFill>
            <w14:solidFill>
              <w14:schemeClr w14:val="tx1"/>
            </w14:solidFill>
          </w14:textFill>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1" w:name="OLE_LINK3"/>
      <w:r>
        <w:rPr>
          <w:rFonts w:hint="eastAsia" w:ascii="仿宋_GB2312" w:eastAsia="仿宋_GB2312"/>
          <w:color w:val="000000" w:themeColor="text1"/>
          <w:sz w:val="32"/>
          <w:szCs w:val="32"/>
          <w14:textFill>
            <w14:solidFill>
              <w14:schemeClr w14:val="tx1"/>
            </w14:solidFill>
          </w14:textFill>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2" w:name="OLE_LINK4"/>
      <w:r>
        <w:rPr>
          <w:rFonts w:hint="eastAsia" w:ascii="仿宋_GB2312" w:eastAsia="仿宋_GB2312"/>
          <w:color w:val="000000" w:themeColor="text1"/>
          <w:sz w:val="32"/>
          <w:szCs w:val="32"/>
          <w14:textFill>
            <w14:solidFill>
              <w14:schemeClr w14:val="tx1"/>
            </w14:solidFill>
          </w14:textFill>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3" w:name="OLE_LINK5"/>
      <w:r>
        <w:rPr>
          <w:rFonts w:hint="eastAsia" w:ascii="仿宋_GB2312" w:eastAsia="仿宋_GB2312"/>
          <w:color w:val="000000" w:themeColor="text1"/>
          <w:sz w:val="32"/>
          <w:szCs w:val="32"/>
          <w14:textFill>
            <w14:solidFill>
              <w14:schemeClr w14:val="tx1"/>
            </w14:solidFill>
          </w14:textFill>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4" w:name="OLE_LINK6"/>
      <w:r>
        <w:rPr>
          <w:rFonts w:hint="eastAsia" w:ascii="仿宋_GB2312" w:eastAsia="仿宋_GB2312"/>
          <w:color w:val="000000" w:themeColor="text1"/>
          <w:sz w:val="32"/>
          <w:szCs w:val="32"/>
          <w14:textFill>
            <w14:solidFill>
              <w14:schemeClr w14:val="tx1"/>
            </w14:solidFill>
          </w14:textFill>
        </w:rPr>
        <w:t>其他收入</w:t>
      </w:r>
      <w:bookmarkEnd w:id="14"/>
      <w:r>
        <w:rPr>
          <w:rFonts w:hint="eastAsia" w:ascii="仿宋_GB2312" w:eastAsia="仿宋_GB2312"/>
          <w:sz w:val="32"/>
          <w:szCs w:val="32"/>
        </w:rPr>
        <w:t>336.4</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48.7</w:t>
      </w:r>
      <w:r>
        <w:rPr>
          <w:rFonts w:hint="eastAsia" w:ascii="仿宋_GB2312" w:eastAsia="仿宋_GB2312"/>
          <w:sz w:val="32"/>
          <w:szCs w:val="32"/>
          <w:lang w:val="en-US" w:eastAsia="zh-CN"/>
        </w:rPr>
        <w:t>5</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w:t>
      </w:r>
      <w:bookmarkStart w:id="92" w:name="_GoBack"/>
      <w:bookmarkEnd w:id="92"/>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14:textFill>
            <w14:solidFill>
              <w14:schemeClr w14:val="tx1"/>
            </w14:solidFill>
          </w14:textFill>
        </w:rPr>
        <w:t>况：本年收入年初预算数74.01万元</w:t>
      </w:r>
      <w:r>
        <w:rPr>
          <w:rFonts w:hint="eastAsia" w:ascii="仿宋_GB2312" w:eastAsia="仿宋_GB2312"/>
          <w:sz w:val="32"/>
          <w:szCs w:val="32"/>
        </w:rPr>
        <w:t>，决算数690.13万元</w:t>
      </w:r>
      <w:r>
        <w:rPr>
          <w:rFonts w:ascii="仿宋_GB2312" w:eastAsia="仿宋_GB2312"/>
          <w:sz w:val="32"/>
          <w:szCs w:val="32"/>
        </w:rPr>
        <w:t>，预决算差异率832.48%，差异主要原因是与上年相比增加了南湖景区项目款收入。</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14:textFill>
            <w14:solidFill>
              <w14:schemeClr w14:val="tx1"/>
            </w14:solidFill>
          </w14:textFill>
        </w:rPr>
      </w:pPr>
      <w:bookmarkStart w:id="16" w:name="OLE_LINK7"/>
      <w:r>
        <w:rPr>
          <w:rFonts w:hint="eastAsia" w:ascii="仿宋_GB2312" w:eastAsia="仿宋_GB2312"/>
          <w:color w:val="000000" w:themeColor="text1"/>
          <w:sz w:val="32"/>
          <w:szCs w:val="32"/>
          <w14:textFill>
            <w14:solidFill>
              <w14:schemeClr w14:val="tx1"/>
            </w14:solidFill>
          </w14:textFill>
        </w:rPr>
        <w:t>本年支出合计</w:t>
      </w:r>
      <w:bookmarkEnd w:id="16"/>
      <w:r>
        <w:rPr>
          <w:rFonts w:hint="eastAsia" w:ascii="仿宋_GB2312" w:eastAsia="仿宋_GB2312"/>
          <w:sz w:val="32"/>
          <w:szCs w:val="32"/>
        </w:rPr>
        <w:t>690.13</w:t>
      </w:r>
      <w:r>
        <w:rPr>
          <w:rFonts w:hint="eastAsia" w:ascii="仿宋_GB2312" w:eastAsia="仿宋_GB2312"/>
          <w:color w:val="000000" w:themeColor="text1"/>
          <w:sz w:val="32"/>
          <w:szCs w:val="32"/>
          <w14:textFill>
            <w14:solidFill>
              <w14:schemeClr w14:val="tx1"/>
            </w14:solidFill>
          </w14:textFill>
        </w:rPr>
        <w:t>万元，其中：</w:t>
      </w:r>
      <w:bookmarkStart w:id="17" w:name="OLE_LINK8"/>
      <w:r>
        <w:rPr>
          <w:rFonts w:hint="eastAsia" w:ascii="仿宋_GB2312" w:eastAsia="仿宋_GB2312"/>
          <w:color w:val="000000" w:themeColor="text1"/>
          <w:sz w:val="32"/>
          <w:szCs w:val="32"/>
          <w14:textFill>
            <w14:solidFill>
              <w14:schemeClr w14:val="tx1"/>
            </w14:solidFill>
          </w14:textFill>
        </w:rPr>
        <w:t>基本支出</w:t>
      </w:r>
      <w:bookmarkEnd w:id="17"/>
      <w:r>
        <w:rPr>
          <w:rFonts w:hint="eastAsia" w:ascii="仿宋_GB2312" w:eastAsia="仿宋_GB2312"/>
          <w:sz w:val="32"/>
          <w:szCs w:val="32"/>
        </w:rPr>
        <w:t>109.78</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15.91%</w:t>
      </w:r>
      <w:r>
        <w:rPr>
          <w:rFonts w:hint="eastAsia" w:ascii="仿宋_GB2312" w:eastAsia="仿宋_GB2312"/>
          <w:color w:val="000000" w:themeColor="text1"/>
          <w:sz w:val="32"/>
          <w:szCs w:val="32"/>
          <w14:textFill>
            <w14:solidFill>
              <w14:schemeClr w14:val="tx1"/>
            </w14:solidFill>
          </w14:textFill>
        </w:rPr>
        <w:t>；</w:t>
      </w:r>
      <w:bookmarkStart w:id="18" w:name="OLE_LINK9"/>
      <w:r>
        <w:rPr>
          <w:rFonts w:hint="eastAsia" w:ascii="仿宋_GB2312" w:eastAsia="仿宋_GB2312"/>
          <w:color w:val="000000" w:themeColor="text1"/>
          <w:sz w:val="32"/>
          <w:szCs w:val="32"/>
          <w14:textFill>
            <w14:solidFill>
              <w14:schemeClr w14:val="tx1"/>
            </w14:solidFill>
          </w14:textFill>
        </w:rPr>
        <w:t>项目支出</w:t>
      </w:r>
      <w:bookmarkEnd w:id="18"/>
      <w:r>
        <w:rPr>
          <w:rFonts w:hint="eastAsia" w:ascii="仿宋_GB2312" w:eastAsia="仿宋_GB2312"/>
          <w:sz w:val="32"/>
          <w:szCs w:val="32"/>
        </w:rPr>
        <w:t>580.34</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84.09%</w:t>
      </w:r>
      <w:r>
        <w:rPr>
          <w:rFonts w:hint="eastAsia" w:ascii="仿宋_GB2312" w:eastAsia="仿宋_GB2312"/>
          <w:color w:val="000000" w:themeColor="text1"/>
          <w:sz w:val="32"/>
          <w:szCs w:val="32"/>
          <w14:textFill>
            <w14:solidFill>
              <w14:schemeClr w14:val="tx1"/>
            </w14:solidFill>
          </w14:textFill>
        </w:rPr>
        <w:t>；</w:t>
      </w:r>
      <w:bookmarkStart w:id="19" w:name="OLE_LINK10"/>
      <w:r>
        <w:rPr>
          <w:rFonts w:hint="eastAsia" w:ascii="仿宋_GB2312" w:eastAsia="仿宋_GB2312"/>
          <w:color w:val="000000" w:themeColor="text1"/>
          <w:sz w:val="32"/>
          <w:szCs w:val="32"/>
          <w14:textFill>
            <w14:solidFill>
              <w14:schemeClr w14:val="tx1"/>
            </w14:solidFill>
          </w14:textFill>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20" w:name="OLE_LINK11"/>
      <w:r>
        <w:rPr>
          <w:rFonts w:hint="eastAsia" w:ascii="仿宋_GB2312" w:eastAsia="仿宋_GB2312"/>
          <w:color w:val="000000" w:themeColor="text1"/>
          <w:spacing w:val="-6"/>
          <w:sz w:val="32"/>
          <w:szCs w:val="32"/>
          <w14:textFill>
            <w14:solidFill>
              <w14:schemeClr w14:val="tx1"/>
            </w14:solidFill>
          </w14:textFill>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w:t>
      </w:r>
      <w:bookmarkStart w:id="21" w:name="OLE_LINK12"/>
      <w:r>
        <w:rPr>
          <w:rFonts w:hint="eastAsia" w:ascii="仿宋_GB2312" w:eastAsia="仿宋_GB2312"/>
          <w:color w:val="000000" w:themeColor="text1"/>
          <w:spacing w:val="-6"/>
          <w:sz w:val="32"/>
          <w:szCs w:val="32"/>
          <w14:textFill>
            <w14:solidFill>
              <w14:schemeClr w14:val="tx1"/>
            </w14:solidFill>
          </w14:textFill>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14:textFill>
            <w14:solidFill>
              <w14:schemeClr w14:val="tx1"/>
            </w14:solidFill>
          </w14:textFill>
        </w:rPr>
        <w:t>与年初预算数相比情况：本年支出年初预算数74.01万元，</w:t>
      </w:r>
      <w:r>
        <w:rPr>
          <w:rFonts w:hint="eastAsia" w:ascii="仿宋_GB2312" w:eastAsia="仿宋_GB2312"/>
          <w:sz w:val="32"/>
          <w:szCs w:val="32"/>
        </w:rPr>
        <w:t>决算数690.13万元</w:t>
      </w:r>
      <w:r>
        <w:rPr>
          <w:rFonts w:ascii="仿宋_GB2312" w:eastAsia="仿宋_GB2312"/>
          <w:sz w:val="32"/>
          <w:szCs w:val="32"/>
        </w:rPr>
        <w:t>，预决算差异率832.48%，差异主要原因是增加了南湖景区项目款支出。</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23" w:name="OLE_LINK58"/>
      <w:bookmarkStart w:id="24" w:name="OLE_LINK57"/>
      <w:r>
        <w:rPr>
          <w:rFonts w:hint="eastAsia" w:ascii="仿宋_GB2312" w:eastAsia="仿宋_GB2312"/>
          <w:color w:val="000000" w:themeColor="text1"/>
          <w:sz w:val="32"/>
          <w:szCs w:val="32"/>
          <w14:textFill>
            <w14:solidFill>
              <w14:schemeClr w14:val="tx1"/>
            </w14:solidFill>
          </w14:textFill>
        </w:rPr>
        <w:t>2018年度</w:t>
      </w:r>
      <w:bookmarkStart w:id="25" w:name="OLE_LINK13"/>
      <w:r>
        <w:rPr>
          <w:rFonts w:hint="eastAsia" w:ascii="仿宋_GB2312" w:eastAsia="仿宋_GB2312"/>
          <w:color w:val="000000" w:themeColor="text1"/>
          <w:sz w:val="32"/>
          <w:szCs w:val="32"/>
          <w14:textFill>
            <w14:solidFill>
              <w14:schemeClr w14:val="tx1"/>
            </w14:solidFill>
          </w14:textFill>
        </w:rPr>
        <w:t>财政拨款收入</w:t>
      </w:r>
      <w:bookmarkEnd w:id="25"/>
      <w:r>
        <w:rPr>
          <w:rFonts w:hint="eastAsia" w:ascii="仿宋_GB2312" w:eastAsia="仿宋_GB2312"/>
          <w:sz w:val="32"/>
          <w:szCs w:val="32"/>
        </w:rPr>
        <w:t>353.72</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，与上年相比，增加267.05万元，增长308.12%，增加的主要原因是：增加了南湖景区项目款收入</w:t>
      </w:r>
      <w:r>
        <w:rPr>
          <w:rFonts w:hint="eastAsia" w:ascii="仿宋_GB2312" w:eastAsia="仿宋_GB2312"/>
          <w:sz w:val="32"/>
          <w:szCs w:val="32"/>
          <w:lang w:val="en-US" w:eastAsia="zh-CN"/>
        </w:rPr>
        <w:t>,财政拨款收入增加</w:t>
      </w:r>
      <w:r>
        <w:rPr>
          <w:rFonts w:hint="eastAsia" w:ascii="仿宋_GB2312" w:eastAsia="仿宋_GB2312"/>
          <w:sz w:val="32"/>
          <w:szCs w:val="32"/>
        </w:rPr>
        <w:t>。</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14:textFill>
            <w14:solidFill>
              <w14:schemeClr w14:val="tx1"/>
            </w14:solidFill>
          </w14:textFill>
        </w:rPr>
        <w:t>财政拨款支出</w:t>
      </w:r>
      <w:bookmarkEnd w:id="26"/>
      <w:r>
        <w:rPr>
          <w:rFonts w:hint="eastAsia" w:ascii="仿宋_GB2312" w:eastAsia="仿宋_GB2312"/>
          <w:sz w:val="32"/>
          <w:szCs w:val="32"/>
        </w:rPr>
        <w:t>353.72</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，与上年相比，增加267.05万元，增长308.12%，增加的主要原因是：</w:t>
      </w:r>
      <w:r>
        <w:rPr>
          <w:rFonts w:ascii="仿宋_GB2312" w:eastAsia="仿宋_GB2312"/>
          <w:sz w:val="32"/>
          <w:szCs w:val="32"/>
        </w:rPr>
        <w:t>增加了南湖景区项目款支出</w:t>
      </w:r>
      <w:r>
        <w:rPr>
          <w:rFonts w:hint="eastAsia" w:ascii="仿宋_GB2312" w:eastAsia="仿宋_GB2312"/>
          <w:sz w:val="32"/>
          <w:szCs w:val="32"/>
          <w:lang w:eastAsia="zh-CN"/>
        </w:rPr>
        <w:t>，</w:t>
      </w:r>
      <w:r>
        <w:rPr>
          <w:rFonts w:hint="eastAsia" w:ascii="仿宋_GB2312" w:eastAsia="仿宋_GB2312"/>
          <w:sz w:val="32"/>
          <w:szCs w:val="32"/>
          <w:lang w:val="en-US" w:eastAsia="zh-CN"/>
        </w:rPr>
        <w:t>财政拨款支出增加</w:t>
      </w:r>
      <w:r>
        <w:rPr>
          <w:rFonts w:ascii="仿宋_GB2312" w:eastAsia="仿宋_GB2312"/>
          <w:sz w:val="32"/>
          <w:szCs w:val="32"/>
        </w:rPr>
        <w:t>。</w:t>
      </w:r>
      <w:bookmarkEnd w:id="27"/>
      <w:bookmarkEnd w:id="28"/>
      <w:bookmarkStart w:id="29" w:name="OLE_LINK61"/>
      <w:r>
        <w:rPr>
          <w:rFonts w:hint="eastAsia" w:ascii="仿宋_GB2312" w:eastAsia="仿宋_GB2312"/>
          <w:color w:val="000000" w:themeColor="text1"/>
          <w:sz w:val="32"/>
          <w:szCs w:val="32"/>
          <w14:textFill>
            <w14:solidFill>
              <w14:schemeClr w14:val="tx1"/>
            </w14:solidFill>
          </w14:textFill>
        </w:rPr>
        <w:t>其中：</w:t>
      </w:r>
      <w:bookmarkStart w:id="30" w:name="OLE_LINK15"/>
      <w:r>
        <w:rPr>
          <w:rFonts w:hint="eastAsia" w:ascii="仿宋_GB2312" w:eastAsia="仿宋_GB2312"/>
          <w:color w:val="000000" w:themeColor="text1"/>
          <w:sz w:val="32"/>
          <w:szCs w:val="32"/>
          <w14:textFill>
            <w14:solidFill>
              <w14:schemeClr w14:val="tx1"/>
            </w14:solidFill>
          </w14:textFill>
        </w:rPr>
        <w:t>基本支出</w:t>
      </w:r>
      <w:bookmarkEnd w:id="30"/>
      <w:r>
        <w:rPr>
          <w:rFonts w:hint="eastAsia" w:ascii="仿宋_GB2312" w:eastAsia="仿宋_GB2312"/>
          <w:sz w:val="32"/>
          <w:szCs w:val="32"/>
        </w:rPr>
        <w:t>106.78</w:t>
      </w:r>
      <w:r>
        <w:rPr>
          <w:rFonts w:hint="eastAsia" w:ascii="仿宋_GB2312" w:eastAsia="仿宋_GB2312"/>
          <w:color w:val="000000" w:themeColor="text1"/>
          <w:sz w:val="32"/>
          <w:szCs w:val="32"/>
          <w14:textFill>
            <w14:solidFill>
              <w14:schemeClr w14:val="tx1"/>
            </w14:solidFill>
          </w14:textFill>
        </w:rPr>
        <w:t>万元，项目支出</w:t>
      </w:r>
      <w:r>
        <w:rPr>
          <w:rFonts w:hint="eastAsia" w:ascii="仿宋_GB2312" w:eastAsia="仿宋_GB2312"/>
          <w:sz w:val="32"/>
          <w:szCs w:val="32"/>
        </w:rPr>
        <w:t>246.94</w:t>
      </w:r>
      <w:r>
        <w:rPr>
          <w:rFonts w:hint="eastAsia" w:ascii="仿宋_GB2312" w:eastAsia="仿宋_GB2312"/>
          <w:color w:val="000000" w:themeColor="text1"/>
          <w:sz w:val="32"/>
          <w:szCs w:val="32"/>
          <w14:textFill>
            <w14:solidFill>
              <w14:schemeClr w14:val="tx1"/>
            </w14:solidFill>
          </w14:textFill>
        </w:rPr>
        <w:t>万元。</w:t>
      </w:r>
      <w:bookmarkStart w:id="31" w:name="OLE_LINK16"/>
      <w:r>
        <w:rPr>
          <w:rFonts w:hint="eastAsia" w:ascii="仿宋_GB2312" w:eastAsia="仿宋_GB2312"/>
          <w:color w:val="000000" w:themeColor="text1"/>
          <w:sz w:val="32"/>
          <w:szCs w:val="32"/>
          <w14:textFill>
            <w14:solidFill>
              <w14:schemeClr w14:val="tx1"/>
            </w14:solidFill>
          </w14:textFill>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%，主要原因是：项目执行到位，资金无结余。</w:t>
      </w:r>
      <w:bookmarkEnd w:id="29"/>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2" w:name="OLE_LINK62"/>
      <w:r>
        <w:rPr>
          <w:rFonts w:hint="eastAsia" w:ascii="仿宋_GB2312" w:eastAsia="仿宋_GB2312"/>
          <w:color w:val="000000" w:themeColor="text1"/>
          <w:sz w:val="32"/>
          <w:szCs w:val="32"/>
          <w14:textFill>
            <w14:solidFill>
              <w14:schemeClr w14:val="tx1"/>
            </w14:solidFill>
          </w14:textFill>
        </w:rPr>
        <w:t>与年初预算数相比情况：财政拨款收入年初预算数</w:t>
      </w:r>
      <w:r>
        <w:rPr>
          <w:rFonts w:ascii="仿宋_GB2312" w:eastAsia="仿宋_GB2312"/>
          <w:color w:val="000000" w:themeColor="text1"/>
          <w:sz w:val="32"/>
          <w:szCs w:val="32"/>
          <w14:textFill>
            <w14:solidFill>
              <w14:schemeClr w14:val="tx1"/>
            </w14:solidFill>
          </w14:textFill>
        </w:rPr>
        <w:t>74.01</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353.72</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，预决算差异率377.94%，差异主要原因是增加了南湖景区项目款收入。</w:t>
      </w:r>
      <w:bookmarkEnd w:id="32"/>
      <w:bookmarkStart w:id="33" w:name="OLE_LINK63"/>
      <w:r>
        <w:rPr>
          <w:rFonts w:hint="eastAsia" w:ascii="仿宋_GB2312" w:eastAsia="仿宋_GB2312"/>
          <w:color w:val="000000" w:themeColor="text1"/>
          <w:sz w:val="32"/>
          <w:szCs w:val="32"/>
          <w14:textFill>
            <w14:solidFill>
              <w14:schemeClr w14:val="tx1"/>
            </w14:solidFill>
          </w14:textFill>
        </w:rPr>
        <w:t>财政拨款支出年初预算数</w:t>
      </w:r>
      <w:r>
        <w:rPr>
          <w:rFonts w:ascii="仿宋_GB2312" w:eastAsia="仿宋_GB2312"/>
          <w:color w:val="000000" w:themeColor="text1"/>
          <w:sz w:val="32"/>
          <w:szCs w:val="32"/>
          <w14:textFill>
            <w14:solidFill>
              <w14:schemeClr w14:val="tx1"/>
            </w14:solidFill>
          </w14:textFill>
        </w:rPr>
        <w:t>74.01</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353.72</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，预决算差异率377.94%，差异主要原因是增加了南湖景区项目款支出</w:t>
      </w:r>
      <w:r>
        <w:rPr>
          <w:rFonts w:hint="eastAsia" w:ascii="仿宋_GB2312" w:eastAsia="仿宋_GB2312"/>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项目支出增加</w:t>
      </w:r>
      <w:r>
        <w:rPr>
          <w:rFonts w:ascii="仿宋_GB2312" w:eastAsia="仿宋_GB2312"/>
          <w:color w:val="000000" w:themeColor="text1"/>
          <w:sz w:val="32"/>
          <w:szCs w:val="32"/>
          <w14:textFill>
            <w14:solidFill>
              <w14:schemeClr w14:val="tx1"/>
            </w14:solidFill>
          </w14:textFill>
        </w:rPr>
        <w:t>。</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4" w:name="OLE_LINK64"/>
      <w:r>
        <w:rPr>
          <w:rFonts w:hint="eastAsia" w:ascii="仿宋_GB2312" w:eastAsia="仿宋_GB2312"/>
          <w:color w:val="000000" w:themeColor="text1"/>
          <w:sz w:val="32"/>
          <w:szCs w:val="32"/>
          <w14:textFill>
            <w14:solidFill>
              <w14:schemeClr w14:val="tx1"/>
            </w14:solidFill>
          </w14:textFill>
        </w:rPr>
        <w:t>2018年度</w:t>
      </w:r>
      <w:bookmarkStart w:id="35" w:name="OLE_LINK17"/>
      <w:r>
        <w:rPr>
          <w:rFonts w:hint="eastAsia" w:ascii="仿宋_GB2312" w:eastAsia="仿宋_GB2312"/>
          <w:color w:val="000000" w:themeColor="text1"/>
          <w:sz w:val="32"/>
          <w:szCs w:val="32"/>
          <w14:textFill>
            <w14:solidFill>
              <w14:schemeClr w14:val="tx1"/>
            </w14:solidFill>
          </w14:textFill>
        </w:rPr>
        <w:t>一般公共预算财政拨款收入</w:t>
      </w:r>
      <w:bookmarkEnd w:id="35"/>
      <w:r>
        <w:rPr>
          <w:rFonts w:ascii="仿宋_GB2312" w:eastAsia="仿宋_GB2312"/>
          <w:color w:val="000000" w:themeColor="text1"/>
          <w:sz w:val="32"/>
          <w:szCs w:val="32"/>
          <w14:textFill>
            <w14:solidFill>
              <w14:schemeClr w14:val="tx1"/>
            </w14:solidFill>
          </w14:textFill>
        </w:rPr>
        <w:t>353.72</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，与上年相比，增加292.05万元，增长473.57%，增加的主要原因是：增加了南湖景区项目款收入。</w:t>
      </w:r>
      <w:bookmarkEnd w:id="34"/>
      <w:bookmarkStart w:id="36" w:name="OLE_LINK18"/>
      <w:bookmarkStart w:id="37" w:name="OLE_LINK65"/>
      <w:r>
        <w:rPr>
          <w:rFonts w:hint="eastAsia" w:ascii="仿宋_GB2312" w:eastAsia="仿宋_GB2312"/>
          <w:color w:val="000000" w:themeColor="text1"/>
          <w:sz w:val="32"/>
          <w:szCs w:val="32"/>
          <w14:textFill>
            <w14:solidFill>
              <w14:schemeClr w14:val="tx1"/>
            </w14:solidFill>
          </w14:textFill>
        </w:rPr>
        <w:t>一般公共预算财政拨款支出</w:t>
      </w:r>
      <w:r>
        <w:rPr>
          <w:rFonts w:hint="eastAsia" w:ascii="仿宋_GB2312" w:eastAsia="仿宋_GB2312"/>
          <w:sz w:val="32"/>
          <w:szCs w:val="32"/>
        </w:rPr>
        <w:t>353.72</w:t>
      </w:r>
      <w:r>
        <w:rPr>
          <w:rFonts w:hint="eastAsia" w:ascii="仿宋_GB2312" w:eastAsia="仿宋_GB2312"/>
          <w:color w:val="000000" w:themeColor="text1"/>
          <w:sz w:val="32"/>
          <w:szCs w:val="32"/>
          <w14:textFill>
            <w14:solidFill>
              <w14:schemeClr w14:val="tx1"/>
            </w14:solidFill>
          </w14:textFill>
        </w:rPr>
        <w:t>万元</w:t>
      </w:r>
      <w:bookmarkEnd w:id="36"/>
      <w:r>
        <w:rPr>
          <w:rFonts w:hint="eastAsia" w:ascii="仿宋_GB2312" w:eastAsia="仿宋_GB2312"/>
          <w:sz w:val="32"/>
          <w:szCs w:val="32"/>
        </w:rPr>
        <w:t>，与上年相比，增加292.05万元，增长473.57%，增加的主要原因是：增加了南湖景区项目款支出。</w:t>
      </w:r>
      <w:bookmarkEnd w:id="37"/>
      <w:r>
        <w:rPr>
          <w:rFonts w:hint="eastAsia" w:ascii="仿宋_GB2312" w:eastAsia="仿宋_GB2312"/>
          <w:color w:val="000000" w:themeColor="text1"/>
          <w:sz w:val="32"/>
          <w:szCs w:val="32"/>
          <w14:textFill>
            <w14:solidFill>
              <w14:schemeClr w14:val="tx1"/>
            </w14:solidFill>
          </w14:textFill>
        </w:rPr>
        <w:t>其中：</w:t>
      </w:r>
      <w:bookmarkStart w:id="38" w:name="OLE_LINK19"/>
      <w:r>
        <w:rPr>
          <w:rFonts w:hint="eastAsia" w:ascii="仿宋_GB2312" w:eastAsia="仿宋_GB2312"/>
          <w:color w:val="000000" w:themeColor="text1"/>
          <w:sz w:val="32"/>
          <w:szCs w:val="32"/>
          <w14:textFill>
            <w14:solidFill>
              <w14:schemeClr w14:val="tx1"/>
            </w14:solidFill>
          </w14:textFill>
        </w:rPr>
        <w:t>按功能分类科目（按类级科目公开）</w:t>
      </w:r>
      <w:bookmarkEnd w:id="38"/>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住房保障支出6.64万元,商业服务业等支出336.59万元,社会保障和就业支出10.5万元。</w:t>
      </w:r>
      <w:bookmarkStart w:id="39" w:name="OLE_LINK20"/>
      <w:bookmarkStart w:id="40" w:name="OLE_LINK21"/>
      <w:r>
        <w:rPr>
          <w:rFonts w:hint="eastAsia" w:ascii="仿宋_GB2312" w:eastAsia="仿宋_GB2312"/>
          <w:color w:val="000000" w:themeColor="text1"/>
          <w:sz w:val="32"/>
          <w:szCs w:val="32"/>
          <w14:textFill>
            <w14:solidFill>
              <w14:schemeClr w14:val="tx1"/>
            </w14:solidFill>
          </w14:textFill>
        </w:rPr>
        <w:t>按经济分类科目</w:t>
      </w:r>
      <w:bookmarkEnd w:id="39"/>
      <w:r>
        <w:rPr>
          <w:rFonts w:hint="eastAsia" w:ascii="仿宋_GB2312" w:eastAsia="仿宋_GB2312"/>
          <w:color w:val="000000" w:themeColor="text1"/>
          <w:sz w:val="32"/>
          <w:szCs w:val="32"/>
          <w14:textFill>
            <w14:solidFill>
              <w14:schemeClr w14:val="tx1"/>
            </w14:solidFill>
          </w14:textFill>
        </w:rPr>
        <w:t>（按类级科目公开）</w:t>
      </w:r>
      <w:bookmarkEnd w:id="40"/>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工资福利支出88.66万元,商品和服务支出32.11万元,对个人和家庭的补助1.8万元,资本性支出（基本建设）181.16万元,资本性支出50万元。</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1" w:name="OLE_LINK67"/>
      <w:bookmarkStart w:id="42" w:name="OLE_LINK66"/>
      <w:r>
        <w:rPr>
          <w:rFonts w:hint="eastAsia" w:ascii="仿宋_GB2312" w:eastAsia="仿宋_GB2312"/>
          <w:color w:val="000000" w:themeColor="text1"/>
          <w:sz w:val="32"/>
          <w:szCs w:val="32"/>
          <w14:textFill>
            <w14:solidFill>
              <w14:schemeClr w14:val="tx1"/>
            </w14:solidFill>
          </w14:textFill>
        </w:rPr>
        <w:t>与年初预算数相比情况：一般公共预算财政拨款收入年初预算数</w:t>
      </w:r>
      <w:r>
        <w:rPr>
          <w:rFonts w:ascii="仿宋_GB2312" w:eastAsia="仿宋_GB2312"/>
          <w:color w:val="000000" w:themeColor="text1"/>
          <w:sz w:val="32"/>
          <w:szCs w:val="32"/>
          <w14:textFill>
            <w14:solidFill>
              <w14:schemeClr w14:val="tx1"/>
            </w14:solidFill>
          </w14:textFill>
        </w:rPr>
        <w:t>74.01</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353.72</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，预决算差异率377.94%，差异主要原因是增加了南湖景区项目款收入。</w:t>
      </w:r>
      <w:bookmarkEnd w:id="41"/>
      <w:bookmarkEnd w:id="42"/>
      <w:bookmarkStart w:id="43" w:name="OLE_LINK68"/>
      <w:r>
        <w:rPr>
          <w:rFonts w:hint="eastAsia" w:ascii="仿宋_GB2312" w:eastAsia="仿宋_GB2312"/>
          <w:color w:val="000000" w:themeColor="text1"/>
          <w:sz w:val="32"/>
          <w:szCs w:val="32"/>
          <w14:textFill>
            <w14:solidFill>
              <w14:schemeClr w14:val="tx1"/>
            </w14:solidFill>
          </w14:textFill>
        </w:rPr>
        <w:t>一般公共预算财政拨款支出年初预算数</w:t>
      </w:r>
      <w:r>
        <w:rPr>
          <w:rFonts w:ascii="仿宋_GB2312" w:eastAsia="仿宋_GB2312"/>
          <w:color w:val="000000" w:themeColor="text1"/>
          <w:sz w:val="32"/>
          <w:szCs w:val="32"/>
          <w14:textFill>
            <w14:solidFill>
              <w14:schemeClr w14:val="tx1"/>
            </w14:solidFill>
          </w14:textFill>
        </w:rPr>
        <w:t>74.01</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353.72</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，预决算差异率377.94%，差异主要原因是增加了南湖景区项目款支出。</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4" w:name="OLE_LINK69"/>
      <w:r>
        <w:rPr>
          <w:rFonts w:hint="eastAsia" w:ascii="仿宋_GB2312" w:eastAsia="仿宋_GB2312"/>
          <w:color w:val="000000" w:themeColor="text1"/>
          <w:sz w:val="32"/>
          <w:szCs w:val="32"/>
          <w14:textFill>
            <w14:solidFill>
              <w14:schemeClr w14:val="tx1"/>
            </w14:solidFill>
          </w14:textFill>
        </w:rPr>
        <w:t>2018年度</w:t>
      </w:r>
      <w:bookmarkStart w:id="45" w:name="OLE_LINK22"/>
      <w:r>
        <w:rPr>
          <w:rFonts w:hint="eastAsia" w:ascii="仿宋_GB2312" w:eastAsia="仿宋_GB2312"/>
          <w:color w:val="000000" w:themeColor="text1"/>
          <w:sz w:val="32"/>
          <w:szCs w:val="32"/>
          <w14:textFill>
            <w14:solidFill>
              <w14:schemeClr w14:val="tx1"/>
            </w14:solidFill>
          </w14:textFill>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，与上年相比，减少25万元，下降100%，减少的主要原因是：本年未安排政府性基金收入，减少了自治区厕所补助资金收入。</w:t>
      </w:r>
      <w:bookmarkEnd w:id="44"/>
      <w:bookmarkStart w:id="46" w:name="OLE_LINK23"/>
      <w:bookmarkStart w:id="47" w:name="OLE_LINK70"/>
      <w:r>
        <w:rPr>
          <w:rFonts w:hint="eastAsia" w:ascii="仿宋_GB2312" w:eastAsia="仿宋_GB2312"/>
          <w:color w:val="000000" w:themeColor="text1"/>
          <w:sz w:val="32"/>
          <w:szCs w:val="32"/>
          <w14:textFill>
            <w14:solidFill>
              <w14:schemeClr w14:val="tx1"/>
            </w14:solidFill>
          </w14:textFill>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，与上年相比，减少25万元，下降100%，减少的主要原因是：本年未安排政府性基金收入，减少了自治区厕所补助资金支出。</w:t>
      </w:r>
      <w:bookmarkEnd w:id="47"/>
      <w:r>
        <w:rPr>
          <w:rFonts w:hint="eastAsia" w:ascii="仿宋_GB2312" w:eastAsia="仿宋_GB2312"/>
          <w:color w:val="000000" w:themeColor="text1"/>
          <w:sz w:val="32"/>
          <w:szCs w:val="32"/>
          <w14:textFill>
            <w14:solidFill>
              <w14:schemeClr w14:val="tx1"/>
            </w14:solidFill>
          </w14:textFill>
        </w:rPr>
        <w:t>其中：</w:t>
      </w:r>
      <w:bookmarkStart w:id="48" w:name="OLE_LINK24"/>
      <w:r>
        <w:rPr>
          <w:rFonts w:hint="eastAsia" w:ascii="仿宋_GB2312" w:eastAsia="仿宋_GB2312"/>
          <w:color w:val="000000" w:themeColor="text1"/>
          <w:sz w:val="32"/>
          <w:szCs w:val="32"/>
          <w14:textFill>
            <w14:solidFill>
              <w14:schemeClr w14:val="tx1"/>
            </w14:solidFill>
          </w14:textFill>
        </w:rPr>
        <w:t>按功能分类科目（按类级科目公开）</w:t>
      </w:r>
      <w:bookmarkEnd w:id="48"/>
      <w:r>
        <w:rPr>
          <w:rFonts w:hint="eastAsia" w:ascii="仿宋_GB2312" w:eastAsia="仿宋_GB2312"/>
          <w:color w:val="000000" w:themeColor="text1"/>
          <w:sz w:val="32"/>
          <w:szCs w:val="32"/>
          <w14:textFill>
            <w14:solidFill>
              <w14:schemeClr w14:val="tx1"/>
            </w14:solidFill>
          </w14:textFill>
        </w:rPr>
        <w:t>，无。按经济分类科目（按类级科目公开），无。</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9" w:name="OLE_LINK72"/>
      <w:bookmarkStart w:id="50" w:name="OLE_LINK71"/>
      <w:r>
        <w:rPr>
          <w:rFonts w:hint="eastAsia" w:ascii="仿宋_GB2312" w:eastAsia="仿宋_GB2312"/>
          <w:color w:val="000000" w:themeColor="text1"/>
          <w:sz w:val="32"/>
          <w:szCs w:val="32"/>
          <w14:textFill>
            <w14:solidFill>
              <w14:schemeClr w14:val="tx1"/>
            </w14:solidFill>
          </w14:textFill>
        </w:rPr>
        <w:t>与年初预算数相比情况：政府性基金预算财政拨款收入年初预算数0万元，决算数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，预决算差异率0%，差异主要原因是本年预算未安排政府性基金。</w:t>
      </w:r>
      <w:bookmarkEnd w:id="49"/>
      <w:bookmarkEnd w:id="50"/>
      <w:bookmarkStart w:id="51" w:name="OLE_LINK73"/>
      <w:r>
        <w:rPr>
          <w:rFonts w:hint="eastAsia" w:ascii="仿宋_GB2312" w:eastAsia="仿宋_GB2312"/>
          <w:color w:val="000000" w:themeColor="text1"/>
          <w:sz w:val="32"/>
          <w:szCs w:val="32"/>
          <w14:textFill>
            <w14:solidFill>
              <w14:schemeClr w14:val="tx1"/>
            </w14:solidFill>
          </w14:textFill>
        </w:rPr>
        <w:t>政府性基金预算财政拨款支出年初预算数0万元，决算数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，预决算差异率0%，差异主要原因是本年预算未安排政府性基金。</w:t>
      </w:r>
      <w:bookmarkEnd w:id="51"/>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三、部门结转结余情况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2" w:name="OLE_LINK25"/>
      <w:bookmarkStart w:id="53" w:name="OLE_LINK26"/>
      <w:r>
        <w:rPr>
          <w:rFonts w:hint="eastAsia" w:ascii="仿宋_GB2312" w:eastAsia="仿宋_GB2312"/>
          <w:color w:val="000000" w:themeColor="text1"/>
          <w:sz w:val="32"/>
          <w:szCs w:val="32"/>
          <w14:textFill>
            <w14:solidFill>
              <w14:schemeClr w14:val="tx1"/>
            </w14:solidFill>
          </w14:textFill>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lang w:eastAsia="zh-CN"/>
        </w:rPr>
        <w:t>。</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其中</w:t>
      </w:r>
      <w:bookmarkStart w:id="54" w:name="OLE_LINK27"/>
      <w:bookmarkStart w:id="55" w:name="OLE_LINK28"/>
      <w:r>
        <w:rPr>
          <w:rFonts w:hint="eastAsia" w:ascii="仿宋_GB2312" w:eastAsia="仿宋_GB2312"/>
          <w:color w:val="000000" w:themeColor="text1"/>
          <w:sz w:val="32"/>
          <w:szCs w:val="32"/>
          <w14:textFill>
            <w14:solidFill>
              <w14:schemeClr w14:val="tx1"/>
            </w14:solidFill>
          </w14:textFill>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6" w:name="OLE_LINK74"/>
      <w:r>
        <w:rPr>
          <w:rFonts w:hint="eastAsia" w:ascii="仿宋_GB2312" w:eastAsia="仿宋_GB2312"/>
          <w:color w:val="000000" w:themeColor="text1"/>
          <w:sz w:val="32"/>
          <w:szCs w:val="32"/>
          <w14:textFill>
            <w14:solidFill>
              <w14:schemeClr w14:val="tx1"/>
            </w14:solidFill>
          </w14:textFill>
        </w:rPr>
        <w:t>2018年度</w:t>
      </w:r>
      <w:bookmarkStart w:id="57" w:name="OLE_LINK29"/>
      <w:r>
        <w:rPr>
          <w:rFonts w:hint="eastAsia" w:ascii="仿宋_GB2312" w:eastAsia="仿宋_GB2312"/>
          <w:color w:val="000000" w:themeColor="text1"/>
          <w:sz w:val="32"/>
          <w:szCs w:val="32"/>
          <w14:textFill>
            <w14:solidFill>
              <w14:schemeClr w14:val="tx1"/>
            </w14:solidFill>
          </w14:textFill>
        </w:rPr>
        <w:t>一般公共预算“三公”经费支出决算</w:t>
      </w:r>
      <w:bookmarkEnd w:id="57"/>
      <w:r>
        <w:rPr>
          <w:rFonts w:hint="eastAsia" w:ascii="仿宋_GB2312" w:eastAsia="仿宋_GB2312"/>
          <w:sz w:val="32"/>
          <w:szCs w:val="32"/>
        </w:rPr>
        <w:t>0.75</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，与上年相比，减少0.68万元，下降47.55%，减少的主要原因是：严格按照八项规定的要求，压缩“三公”经费。</w:t>
      </w:r>
      <w:bookmarkEnd w:id="56"/>
      <w:bookmarkStart w:id="58" w:name="OLE_LINK75"/>
      <w:r>
        <w:rPr>
          <w:rFonts w:hint="eastAsia" w:ascii="仿宋_GB2312" w:eastAsia="仿宋_GB2312"/>
          <w:color w:val="000000" w:themeColor="text1"/>
          <w:sz w:val="32"/>
          <w:szCs w:val="32"/>
          <w14:textFill>
            <w14:solidFill>
              <w14:schemeClr w14:val="tx1"/>
            </w14:solidFill>
          </w14:textFill>
        </w:rPr>
        <w:t>其中，</w:t>
      </w:r>
      <w:bookmarkStart w:id="59" w:name="OLE_LINK30"/>
      <w:r>
        <w:rPr>
          <w:rFonts w:hint="eastAsia" w:ascii="仿宋_GB2312" w:eastAsia="仿宋_GB2312"/>
          <w:color w:val="000000" w:themeColor="text1"/>
          <w:sz w:val="32"/>
          <w:szCs w:val="32"/>
          <w14:textFill>
            <w14:solidFill>
              <w14:schemeClr w14:val="tx1"/>
            </w14:solidFill>
          </w14:textFill>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%，主要原因是：本年预算未安排；</w:t>
      </w:r>
      <w:bookmarkEnd w:id="58"/>
      <w:bookmarkStart w:id="60" w:name="OLE_LINK31"/>
      <w:bookmarkStart w:id="61" w:name="OLE_LINK76"/>
      <w:r>
        <w:rPr>
          <w:rFonts w:hint="eastAsia" w:ascii="仿宋_GB2312" w:eastAsia="仿宋_GB2312"/>
          <w:color w:val="000000" w:themeColor="text1"/>
          <w:sz w:val="32"/>
          <w:szCs w:val="32"/>
          <w14:textFill>
            <w14:solidFill>
              <w14:schemeClr w14:val="tx1"/>
            </w14:solidFill>
          </w14:textFill>
        </w:rPr>
        <w:t>公务用车购置及运行维护费支出</w:t>
      </w:r>
      <w:bookmarkEnd w:id="60"/>
      <w:r>
        <w:rPr>
          <w:rFonts w:hint="eastAsia" w:ascii="仿宋_GB2312" w:eastAsia="仿宋_GB2312"/>
          <w:sz w:val="32"/>
          <w:szCs w:val="32"/>
        </w:rPr>
        <w:t>0.75</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100%，与上年相比，减少0.68万元，下降47.55%，减少的主要原因是：财政资金紧张，单位经费缩减；</w:t>
      </w:r>
      <w:bookmarkEnd w:id="61"/>
      <w:bookmarkStart w:id="62" w:name="OLE_LINK32"/>
      <w:bookmarkStart w:id="63" w:name="OLE_LINK77"/>
      <w:bookmarkStart w:id="64" w:name="OLE_LINK78"/>
      <w:r>
        <w:rPr>
          <w:rFonts w:hint="eastAsia" w:ascii="仿宋_GB2312" w:eastAsia="仿宋_GB2312"/>
          <w:color w:val="000000" w:themeColor="text1"/>
          <w:sz w:val="32"/>
          <w:szCs w:val="32"/>
          <w14:textFill>
            <w14:solidFill>
              <w14:schemeClr w14:val="tx1"/>
            </w14:solidFill>
          </w14:textFill>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%，主要原因是：本年预算未安排。</w:t>
      </w:r>
      <w:bookmarkEnd w:id="63"/>
      <w:bookmarkEnd w:id="64"/>
      <w:r>
        <w:rPr>
          <w:rFonts w:hint="eastAsia" w:ascii="仿宋_GB2312" w:eastAsia="仿宋_GB2312"/>
          <w:color w:val="000000" w:themeColor="text1"/>
          <w:sz w:val="32"/>
          <w:szCs w:val="32"/>
          <w14:textFill>
            <w14:solidFill>
              <w14:schemeClr w14:val="tx1"/>
            </w14:solidFill>
          </w14:textFill>
        </w:rPr>
        <w:t>具体情况如下：</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65" w:name="OLE_LINK79"/>
      <w:bookmarkStart w:id="66" w:name="OLE_LINK80"/>
      <w:r>
        <w:rPr>
          <w:rFonts w:hint="eastAsia" w:ascii="仿宋_GB2312" w:eastAsia="仿宋_GB2312"/>
          <w:color w:val="000000" w:themeColor="text1"/>
          <w:sz w:val="32"/>
          <w:szCs w:val="32"/>
          <w14:textFill>
            <w14:solidFill>
              <w14:schemeClr w14:val="tx1"/>
            </w14:solidFill>
          </w14:textFill>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新疆喀什地区英吉沙县旅游局</w:t>
      </w:r>
      <w:r>
        <w:rPr>
          <w:rFonts w:hint="eastAsia" w:ascii="仿宋_GB2312" w:eastAsia="仿宋_GB2312"/>
          <w:color w:val="000000" w:themeColor="text1"/>
          <w:sz w:val="32"/>
          <w:szCs w:val="32"/>
          <w14:textFill>
            <w14:solidFill>
              <w14:schemeClr w14:val="tx1"/>
            </w14:solidFill>
          </w14:textFill>
        </w:rPr>
        <w:t>单位</w:t>
      </w:r>
      <w:bookmarkStart w:id="67" w:name="OLE_LINK33"/>
      <w:r>
        <w:rPr>
          <w:rFonts w:hint="eastAsia" w:ascii="仿宋_GB2312" w:eastAsia="仿宋_GB2312"/>
          <w:color w:val="000000" w:themeColor="text1"/>
          <w:sz w:val="32"/>
          <w:szCs w:val="32"/>
          <w14:textFill>
            <w14:solidFill>
              <w14:schemeClr w14:val="tx1"/>
            </w14:solidFill>
          </w14:textFill>
        </w:rPr>
        <w:t>全年</w:t>
      </w:r>
      <w:bookmarkStart w:id="68" w:name="OLE_LINK34"/>
      <w:bookmarkStart w:id="69" w:name="OLE_LINK35"/>
      <w:bookmarkStart w:id="70" w:name="OLE_LINK36"/>
      <w:r>
        <w:rPr>
          <w:rFonts w:hint="eastAsia" w:ascii="仿宋_GB2312" w:eastAsia="仿宋_GB2312"/>
          <w:color w:val="000000" w:themeColor="text1"/>
          <w:sz w:val="32"/>
          <w:szCs w:val="32"/>
          <w14:textFill>
            <w14:solidFill>
              <w14:schemeClr w14:val="tx1"/>
            </w14:solidFill>
          </w14:textFill>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个</w:t>
      </w:r>
      <w:bookmarkEnd w:id="70"/>
      <w:r>
        <w:rPr>
          <w:rFonts w:hint="eastAsia" w:ascii="仿宋_GB2312" w:eastAsia="仿宋_GB2312"/>
          <w:color w:val="000000" w:themeColor="text1"/>
          <w:sz w:val="32"/>
          <w:szCs w:val="32"/>
          <w14:textFill>
            <w14:solidFill>
              <w14:schemeClr w14:val="tx1"/>
            </w14:solidFill>
          </w14:textFill>
        </w:rPr>
        <w:t>，</w:t>
      </w:r>
      <w:bookmarkStart w:id="71" w:name="OLE_LINK37"/>
      <w:r>
        <w:rPr>
          <w:rFonts w:hint="eastAsia" w:ascii="仿宋_GB2312" w:eastAsia="仿宋_GB2312"/>
          <w:color w:val="000000" w:themeColor="text1"/>
          <w:sz w:val="32"/>
          <w:szCs w:val="32"/>
          <w14:textFill>
            <w14:solidFill>
              <w14:schemeClr w14:val="tx1"/>
            </w14:solidFill>
          </w14:textFill>
        </w:rPr>
        <w:t>累计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1"/>
      <w:r>
        <w:rPr>
          <w:rFonts w:hint="eastAsia" w:ascii="仿宋_GB2312" w:eastAsia="仿宋_GB2312"/>
          <w:color w:val="000000" w:themeColor="text1"/>
          <w:sz w:val="32"/>
          <w:szCs w:val="32"/>
          <w14:textFill>
            <w14:solidFill>
              <w14:schemeClr w14:val="tx1"/>
            </w14:solidFill>
          </w14:textFill>
        </w:rPr>
        <w:t>。</w:t>
      </w:r>
      <w:bookmarkStart w:id="72" w:name="OLE_LINK38"/>
      <w:r>
        <w:rPr>
          <w:rFonts w:hint="eastAsia" w:ascii="仿宋_GB2312" w:eastAsia="仿宋_GB2312"/>
          <w:color w:val="000000" w:themeColor="text1"/>
          <w:sz w:val="32"/>
          <w:szCs w:val="32"/>
          <w14:textFill>
            <w14:solidFill>
              <w14:schemeClr w14:val="tx1"/>
            </w14:solidFill>
          </w14:textFill>
        </w:rPr>
        <w:t>开支内容包括：</w:t>
      </w:r>
      <w:r>
        <w:rPr>
          <w:rFonts w:ascii="仿宋_GB2312" w:eastAsia="仿宋_GB2312"/>
          <w:color w:val="000000" w:themeColor="text1"/>
          <w:sz w:val="32"/>
          <w:szCs w:val="32"/>
          <w14:textFill>
            <w14:solidFill>
              <w14:schemeClr w14:val="tx1"/>
            </w14:solidFill>
          </w14:textFill>
        </w:rPr>
        <w:t>本年预算未安排。</w:t>
      </w:r>
      <w:bookmarkEnd w:id="65"/>
      <w:bookmarkEnd w:id="66"/>
      <w:bookmarkEnd w:id="72"/>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3" w:name="OLE_LINK81"/>
      <w:r>
        <w:rPr>
          <w:rFonts w:hint="eastAsia" w:ascii="仿宋_GB2312" w:eastAsia="仿宋_GB2312"/>
          <w:color w:val="000000" w:themeColor="text1"/>
          <w:sz w:val="32"/>
          <w:szCs w:val="32"/>
          <w14:textFill>
            <w14:solidFill>
              <w14:schemeClr w14:val="tx1"/>
            </w14:solidFill>
          </w14:textFill>
        </w:rPr>
        <w:t>公务用车购置及运行维护费</w:t>
      </w:r>
      <w:r>
        <w:rPr>
          <w:rFonts w:hint="eastAsia" w:ascii="仿宋_GB2312" w:eastAsia="仿宋_GB2312"/>
          <w:sz w:val="32"/>
          <w:szCs w:val="32"/>
        </w:rPr>
        <w:t>0.75</w:t>
      </w:r>
      <w:r>
        <w:rPr>
          <w:rFonts w:hint="eastAsia" w:ascii="仿宋_GB2312" w:eastAsia="仿宋_GB2312"/>
          <w:color w:val="000000" w:themeColor="text1"/>
          <w:sz w:val="32"/>
          <w:szCs w:val="32"/>
          <w14:textFill>
            <w14:solidFill>
              <w14:schemeClr w14:val="tx1"/>
            </w14:solidFill>
          </w14:textFill>
        </w:rPr>
        <w:t>万元,其中，</w:t>
      </w:r>
      <w:bookmarkStart w:id="74" w:name="OLE_LINK39"/>
      <w:r>
        <w:rPr>
          <w:rFonts w:hint="eastAsia" w:ascii="仿宋_GB2312" w:eastAsia="仿宋_GB2312"/>
          <w:color w:val="000000" w:themeColor="text1"/>
          <w:sz w:val="32"/>
          <w:szCs w:val="32"/>
          <w14:textFill>
            <w14:solidFill>
              <w14:schemeClr w14:val="tx1"/>
            </w14:solidFill>
          </w14:textFill>
        </w:rPr>
        <w:t>公务用车购置</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End w:id="74"/>
      <w:r>
        <w:rPr>
          <w:rFonts w:hint="eastAsia" w:ascii="仿宋_GB2312" w:eastAsia="仿宋_GB2312"/>
          <w:color w:val="000000" w:themeColor="text1"/>
          <w:sz w:val="32"/>
          <w:szCs w:val="32"/>
          <w14:textFill>
            <w14:solidFill>
              <w14:schemeClr w14:val="tx1"/>
            </w14:solidFill>
          </w14:textFill>
        </w:rPr>
        <w:t>，</w:t>
      </w:r>
      <w:bookmarkStart w:id="75" w:name="OLE_LINK41"/>
      <w:bookmarkStart w:id="76" w:name="OLE_LINK40"/>
      <w:r>
        <w:rPr>
          <w:rFonts w:hint="eastAsia" w:ascii="仿宋_GB2312" w:eastAsia="仿宋_GB2312"/>
          <w:color w:val="000000" w:themeColor="text1"/>
          <w:sz w:val="32"/>
          <w:szCs w:val="32"/>
          <w14:textFill>
            <w14:solidFill>
              <w14:schemeClr w14:val="tx1"/>
            </w14:solidFill>
          </w14:textFill>
        </w:rPr>
        <w:t>公务用车运行维护费</w:t>
      </w:r>
      <w:r>
        <w:rPr>
          <w:rFonts w:hint="eastAsia" w:ascii="仿宋_GB2312" w:eastAsia="仿宋_GB2312"/>
          <w:sz w:val="32"/>
          <w:szCs w:val="32"/>
        </w:rPr>
        <w:t>0.75</w:t>
      </w:r>
      <w:r>
        <w:rPr>
          <w:rFonts w:hint="eastAsia" w:ascii="仿宋_GB2312" w:eastAsia="仿宋_GB2312"/>
          <w:color w:val="000000" w:themeColor="text1"/>
          <w:sz w:val="32"/>
          <w:szCs w:val="32"/>
          <w14:textFill>
            <w14:solidFill>
              <w14:schemeClr w14:val="tx1"/>
            </w14:solidFill>
          </w14:textFill>
        </w:rPr>
        <w:t>万元</w:t>
      </w:r>
      <w:bookmarkEnd w:id="75"/>
      <w:bookmarkEnd w:id="76"/>
      <w:r>
        <w:rPr>
          <w:rFonts w:hint="eastAsia" w:ascii="仿宋_GB2312" w:eastAsia="仿宋_GB2312"/>
          <w:color w:val="000000" w:themeColor="text1"/>
          <w:sz w:val="32"/>
          <w:szCs w:val="32"/>
          <w14:textFill>
            <w14:solidFill>
              <w14:schemeClr w14:val="tx1"/>
            </w14:solidFill>
          </w14:textFill>
        </w:rPr>
        <w:t>。主要用于</w:t>
      </w:r>
      <w:r>
        <w:rPr>
          <w:rFonts w:hint="eastAsia" w:ascii="仿宋_GB2312" w:eastAsia="仿宋_GB2312"/>
          <w:sz w:val="32"/>
          <w:szCs w:val="32"/>
        </w:rPr>
        <w:t>公务用车加油费、维护费、过路费</w:t>
      </w:r>
      <w:r>
        <w:rPr>
          <w:rFonts w:hint="eastAsia" w:ascii="仿宋_GB2312" w:eastAsia="仿宋_GB2312"/>
          <w:color w:val="000000" w:themeColor="text1"/>
          <w:sz w:val="32"/>
          <w:szCs w:val="32"/>
          <w14:textFill>
            <w14:solidFill>
              <w14:schemeClr w14:val="tx1"/>
            </w14:solidFill>
          </w14:textFill>
        </w:rPr>
        <w:t>等。</w:t>
      </w:r>
      <w:bookmarkEnd w:id="73"/>
      <w:bookmarkStart w:id="77" w:name="OLE_LINK82"/>
      <w:r>
        <w:rPr>
          <w:rFonts w:hint="eastAsia" w:ascii="仿宋_GB2312" w:eastAsia="仿宋_GB2312"/>
          <w:color w:val="000000" w:themeColor="text1"/>
          <w:sz w:val="32"/>
          <w:szCs w:val="32"/>
          <w14:textFill>
            <w14:solidFill>
              <w14:schemeClr w14:val="tx1"/>
            </w14:solidFill>
          </w14:textFill>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辆，保有量为</w:t>
      </w:r>
      <w:r>
        <w:rPr>
          <w:rFonts w:hint="eastAsia" w:ascii="仿宋_GB2312" w:eastAsia="仿宋_GB2312"/>
          <w:sz w:val="32"/>
          <w:szCs w:val="32"/>
        </w:rPr>
        <w:t>1</w:t>
      </w:r>
      <w:r>
        <w:rPr>
          <w:rFonts w:hint="eastAsia" w:ascii="仿宋_GB2312" w:eastAsia="仿宋_GB2312"/>
          <w:color w:val="000000" w:themeColor="text1"/>
          <w:sz w:val="32"/>
          <w:szCs w:val="32"/>
          <w14:textFill>
            <w14:solidFill>
              <w14:schemeClr w14:val="tx1"/>
            </w14:solidFill>
          </w14:textFill>
        </w:rPr>
        <w:t>辆。</w:t>
      </w:r>
      <w:bookmarkEnd w:id="77"/>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8" w:name="OLE_LINK83"/>
      <w:r>
        <w:rPr>
          <w:rFonts w:hint="eastAsia" w:ascii="仿宋_GB2312" w:eastAsia="仿宋_GB2312"/>
          <w:color w:val="000000" w:themeColor="text1"/>
          <w:sz w:val="32"/>
          <w:szCs w:val="32"/>
          <w14:textFill>
            <w14:solidFill>
              <w14:schemeClr w14:val="tx1"/>
            </w14:solidFill>
          </w14:textFill>
        </w:rPr>
        <w:t>公务接待费</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万元，主要是</w:t>
      </w:r>
      <w:r>
        <w:rPr>
          <w:rFonts w:hint="eastAsia" w:ascii="仿宋_GB2312" w:eastAsia="仿宋_GB2312"/>
          <w:sz w:val="32"/>
          <w:szCs w:val="32"/>
        </w:rPr>
        <w:t>本年预算未安排</w:t>
      </w:r>
      <w:r>
        <w:rPr>
          <w:rFonts w:hint="eastAsia" w:ascii="仿宋_GB2312" w:eastAsia="仿宋_GB2312"/>
          <w:color w:val="000000" w:themeColor="text1"/>
          <w:sz w:val="32"/>
          <w:szCs w:val="32"/>
          <w14:textFill>
            <w14:solidFill>
              <w14:schemeClr w14:val="tx1"/>
            </w14:solidFill>
          </w14:textFill>
        </w:rPr>
        <w:t>等。</w:t>
      </w:r>
      <w:bookmarkEnd w:id="78"/>
      <w:bookmarkStart w:id="79" w:name="OLE_LINK84"/>
      <w:r>
        <w:rPr>
          <w:rFonts w:hint="eastAsia" w:ascii="仿宋_GB2312" w:eastAsia="仿宋_GB2312"/>
          <w:sz w:val="32"/>
          <w:szCs w:val="32"/>
        </w:rPr>
        <w:t>新疆喀什地区英吉沙县旅游局</w:t>
      </w:r>
      <w:r>
        <w:rPr>
          <w:rFonts w:hint="eastAsia" w:ascii="仿宋_GB2312" w:eastAsia="仿宋_GB2312"/>
          <w:color w:val="000000" w:themeColor="text1"/>
          <w:sz w:val="32"/>
          <w:szCs w:val="32"/>
          <w14:textFill>
            <w14:solidFill>
              <w14:schemeClr w14:val="tx1"/>
            </w14:solidFill>
          </w14:textFill>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批次，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9"/>
    </w:p>
    <w:p>
      <w:pPr>
        <w:spacing w:line="54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bookmarkStart w:id="80" w:name="OLE_LINK85"/>
      <w:r>
        <w:rPr>
          <w:rFonts w:hint="eastAsia" w:ascii="仿宋_GB2312" w:eastAsia="仿宋_GB2312"/>
          <w:color w:val="000000" w:themeColor="text1"/>
          <w:sz w:val="32"/>
          <w:szCs w:val="32"/>
          <w14:textFill>
            <w14:solidFill>
              <w14:schemeClr w14:val="tx1"/>
            </w14:solidFill>
          </w14:textFill>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0.75</w:t>
      </w:r>
      <w:r>
        <w:rPr>
          <w:rFonts w:hint="eastAsia" w:ascii="仿宋_GB2312" w:eastAsia="仿宋_GB2312"/>
          <w:color w:val="000000" w:themeColor="text1"/>
          <w:sz w:val="32"/>
          <w:szCs w:val="32"/>
          <w14:textFill>
            <w14:solidFill>
              <w14:schemeClr w14:val="tx1"/>
            </w14:solidFill>
          </w14:textFill>
        </w:rPr>
        <w:t>万元，决算数0.75万元</w:t>
      </w:r>
      <w:r>
        <w:rPr>
          <w:rFonts w:ascii="仿宋_GB2312" w:eastAsia="仿宋_GB2312"/>
          <w:color w:val="000000" w:themeColor="text1"/>
          <w:sz w:val="32"/>
          <w:szCs w:val="32"/>
          <w14:textFill>
            <w14:solidFill>
              <w14:schemeClr w14:val="tx1"/>
            </w14:solidFill>
          </w14:textFill>
        </w:rPr>
        <w:t>，预决算差异率0%，差异主要原因是单位能够严格执行中央八项规定及自治区十项规定要求，厉行勤俭节约。</w:t>
      </w:r>
      <w:bookmarkEnd w:id="80"/>
      <w:bookmarkStart w:id="81" w:name="OLE_LINK87"/>
      <w:bookmarkStart w:id="82" w:name="OLE_LINK86"/>
      <w:r>
        <w:rPr>
          <w:rFonts w:hint="eastAsia" w:ascii="仿宋_GB2312" w:hAnsi="宋体" w:eastAsia="仿宋_GB2312" w:cs="宋体"/>
          <w:color w:val="000000" w:themeColor="text1"/>
          <w:kern w:val="0"/>
          <w:sz w:val="32"/>
          <w:szCs w:val="32"/>
          <w14:textFill>
            <w14:solidFill>
              <w14:schemeClr w14:val="tx1"/>
            </w14:solidFill>
          </w14:textFill>
        </w:rPr>
        <w:t>其中：因公出国（境）费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，预决算差异率0%，差异主要原因是本年未安排</w:t>
      </w:r>
      <w:r>
        <w:rPr>
          <w:rFonts w:hint="eastAsia" w:ascii="仿宋_GB2312" w:eastAsia="仿宋_GB2312"/>
          <w:color w:val="000000" w:themeColor="text1"/>
          <w:sz w:val="32"/>
          <w:szCs w:val="32"/>
          <w:lang w:val="en-US" w:eastAsia="zh-CN"/>
          <w14:textFill>
            <w14:solidFill>
              <w14:schemeClr w14:val="tx1"/>
            </w14:solidFill>
          </w14:textFill>
        </w:rPr>
        <w:t>此项预算</w:t>
      </w:r>
      <w:r>
        <w:rPr>
          <w:rFonts w:ascii="仿宋_GB2312" w:eastAsia="仿宋_GB2312"/>
          <w:color w:val="000000" w:themeColor="text1"/>
          <w:sz w:val="32"/>
          <w:szCs w:val="32"/>
          <w14:textFill>
            <w14:solidFill>
              <w14:schemeClr w14:val="tx1"/>
            </w14:solidFill>
          </w14:textFill>
        </w:rPr>
        <w:t>；</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14:textFill>
            <w14:solidFill>
              <w14:schemeClr w14:val="tx1"/>
            </w14:solidFill>
          </w14:textFill>
        </w:rPr>
        <w:t>公务用车购置</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，预决算差异率0%，差异主要原因是本年未安排</w:t>
      </w:r>
      <w:r>
        <w:rPr>
          <w:rFonts w:hint="eastAsia" w:ascii="仿宋_GB2312" w:eastAsia="仿宋_GB2312"/>
          <w:color w:val="000000" w:themeColor="text1"/>
          <w:sz w:val="32"/>
          <w:szCs w:val="32"/>
          <w:lang w:val="en-US" w:eastAsia="zh-CN"/>
          <w14:textFill>
            <w14:solidFill>
              <w14:schemeClr w14:val="tx1"/>
            </w14:solidFill>
          </w14:textFill>
        </w:rPr>
        <w:t>此项预算</w:t>
      </w:r>
      <w:r>
        <w:rPr>
          <w:rFonts w:ascii="仿宋_GB2312" w:eastAsia="仿宋_GB2312"/>
          <w:color w:val="000000" w:themeColor="text1"/>
          <w:sz w:val="32"/>
          <w:szCs w:val="32"/>
          <w14:textFill>
            <w14:solidFill>
              <w14:schemeClr w14:val="tx1"/>
            </w14:solidFill>
          </w14:textFill>
        </w:rPr>
        <w:t>；</w:t>
      </w:r>
      <w:bookmarkEnd w:id="83"/>
      <w:bookmarkEnd w:id="84"/>
      <w:bookmarkStart w:id="85" w:name="OLE_LINK90"/>
      <w:r>
        <w:rPr>
          <w:rFonts w:hint="eastAsia" w:ascii="仿宋_GB2312" w:hAnsi="宋体" w:eastAsia="仿宋_GB2312" w:cs="宋体"/>
          <w:color w:val="000000" w:themeColor="text1"/>
          <w:kern w:val="0"/>
          <w:sz w:val="32"/>
          <w:szCs w:val="32"/>
          <w14:textFill>
            <w14:solidFill>
              <w14:schemeClr w14:val="tx1"/>
            </w14:solidFill>
          </w14:textFill>
        </w:rPr>
        <w:t>公务用车运行费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0.75</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0.75</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，预决算差异率0%，差异主要原因是单位能够严格执行中央八项规定及自治区十项规定要求，厉行勤俭节约；</w:t>
      </w:r>
      <w:bookmarkEnd w:id="85"/>
      <w:bookmarkStart w:id="86" w:name="OLE_LINK91"/>
      <w:r>
        <w:rPr>
          <w:rFonts w:hint="eastAsia" w:ascii="仿宋_GB2312" w:hAnsi="宋体" w:eastAsia="仿宋_GB2312" w:cs="宋体"/>
          <w:color w:val="000000" w:themeColor="text1"/>
          <w:kern w:val="0"/>
          <w:sz w:val="32"/>
          <w:szCs w:val="32"/>
          <w14:textFill>
            <w14:solidFill>
              <w14:schemeClr w14:val="tx1"/>
            </w14:solidFill>
          </w14:textFill>
        </w:rPr>
        <w:t>公务接待费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w:t>
      </w:r>
      <w:bookmarkEnd w:id="86"/>
      <w:r>
        <w:rPr>
          <w:rFonts w:ascii="仿宋_GB2312" w:eastAsia="仿宋_GB2312"/>
          <w:color w:val="000000" w:themeColor="text1"/>
          <w:sz w:val="32"/>
          <w:szCs w:val="32"/>
          <w14:textFill>
            <w14:solidFill>
              <w14:schemeClr w14:val="tx1"/>
            </w14:solidFill>
          </w14:textFill>
        </w:rPr>
        <w:t>本年未安排</w:t>
      </w:r>
      <w:r>
        <w:rPr>
          <w:rFonts w:hint="eastAsia" w:ascii="仿宋_GB2312" w:eastAsia="仿宋_GB2312"/>
          <w:color w:val="000000" w:themeColor="text1"/>
          <w:sz w:val="32"/>
          <w:szCs w:val="32"/>
          <w:lang w:val="en-US" w:eastAsia="zh-CN"/>
          <w14:textFill>
            <w14:solidFill>
              <w14:schemeClr w14:val="tx1"/>
            </w14:solidFill>
          </w14:textFill>
        </w:rPr>
        <w:t>此项预算</w:t>
      </w:r>
      <w:r>
        <w:rPr>
          <w:rFonts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2018年度新疆喀什地区英吉沙县旅游局机关运行经费支出16.32万元，与上年相比，增加3.85万元，增长30.87%，增加的主要原因是：增加南湖景区往年暖气费支出。</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六、政府采购情况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w:t>
      </w:r>
      <w:bookmarkStart w:id="87" w:name="OLE_LINK45"/>
      <w:r>
        <w:rPr>
          <w:rFonts w:hint="eastAsia" w:ascii="仿宋_GB2312" w:eastAsia="仿宋_GB2312"/>
          <w:color w:val="000000" w:themeColor="text1"/>
          <w:sz w:val="32"/>
          <w:szCs w:val="32"/>
          <w14:textFill>
            <w14:solidFill>
              <w14:schemeClr w14:val="tx1"/>
            </w14:solidFill>
          </w14:textFill>
        </w:rPr>
        <w:t>政府采购支出总额</w:t>
      </w:r>
      <w:bookmarkEnd w:id="87"/>
      <w:r>
        <w:rPr>
          <w:rFonts w:hint="eastAsia" w:ascii="仿宋_GB2312" w:eastAsia="仿宋_GB2312"/>
          <w:sz w:val="32"/>
          <w:szCs w:val="32"/>
        </w:rPr>
        <w:t>3.24</w:t>
      </w:r>
      <w:r>
        <w:rPr>
          <w:rFonts w:hint="eastAsia" w:ascii="仿宋_GB2312" w:eastAsia="仿宋_GB2312"/>
          <w:color w:val="000000" w:themeColor="text1"/>
          <w:sz w:val="32"/>
          <w:szCs w:val="32"/>
          <w14:textFill>
            <w14:solidFill>
              <w14:schemeClr w14:val="tx1"/>
            </w14:solidFill>
          </w14:textFill>
        </w:rPr>
        <w:t>万元，其中：</w:t>
      </w:r>
      <w:bookmarkStart w:id="88" w:name="OLE_LINK46"/>
      <w:r>
        <w:rPr>
          <w:rFonts w:hint="eastAsia" w:ascii="仿宋_GB2312" w:eastAsia="仿宋_GB2312"/>
          <w:color w:val="000000" w:themeColor="text1"/>
          <w:sz w:val="32"/>
          <w:szCs w:val="32"/>
          <w14:textFill>
            <w14:solidFill>
              <w14:schemeClr w14:val="tx1"/>
            </w14:solidFill>
          </w14:textFill>
        </w:rPr>
        <w:t>政府采购货物支出</w:t>
      </w:r>
      <w:bookmarkEnd w:id="88"/>
      <w:r>
        <w:rPr>
          <w:rFonts w:hint="eastAsia" w:ascii="仿宋_GB2312" w:eastAsia="仿宋_GB2312"/>
          <w:sz w:val="32"/>
          <w:szCs w:val="32"/>
        </w:rPr>
        <w:t>3.12</w:t>
      </w:r>
      <w:r>
        <w:rPr>
          <w:rFonts w:hint="eastAsia" w:ascii="仿宋_GB2312" w:eastAsia="仿宋_GB2312"/>
          <w:color w:val="000000" w:themeColor="text1"/>
          <w:sz w:val="32"/>
          <w:szCs w:val="32"/>
          <w14:textFill>
            <w14:solidFill>
              <w14:schemeClr w14:val="tx1"/>
            </w14:solidFill>
          </w14:textFill>
        </w:rPr>
        <w:t>万元、</w:t>
      </w:r>
      <w:bookmarkStart w:id="89" w:name="OLE_LINK47"/>
      <w:r>
        <w:rPr>
          <w:rFonts w:hint="eastAsia" w:ascii="仿宋_GB2312" w:eastAsia="仿宋_GB2312"/>
          <w:color w:val="000000" w:themeColor="text1"/>
          <w:sz w:val="32"/>
          <w:szCs w:val="32"/>
          <w14:textFill>
            <w14:solidFill>
              <w14:schemeClr w14:val="tx1"/>
            </w14:solidFill>
          </w14:textFill>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90" w:name="OLE_LINK48"/>
      <w:r>
        <w:rPr>
          <w:rFonts w:hint="eastAsia" w:ascii="仿宋_GB2312" w:eastAsia="仿宋_GB2312"/>
          <w:color w:val="000000" w:themeColor="text1"/>
          <w:sz w:val="32"/>
          <w:szCs w:val="32"/>
          <w14:textFill>
            <w14:solidFill>
              <w14:schemeClr w14:val="tx1"/>
            </w14:solidFill>
          </w14:textFill>
        </w:rPr>
        <w:t>政府采购服务支出</w:t>
      </w:r>
      <w:bookmarkEnd w:id="90"/>
      <w:r>
        <w:rPr>
          <w:rFonts w:hint="eastAsia" w:ascii="仿宋_GB2312" w:eastAsia="仿宋_GB2312"/>
          <w:sz w:val="32"/>
          <w:szCs w:val="32"/>
        </w:rPr>
        <w:t>0.12</w:t>
      </w:r>
      <w:r>
        <w:rPr>
          <w:rFonts w:hint="eastAsia" w:ascii="仿宋_GB2312" w:eastAsia="仿宋_GB2312"/>
          <w:color w:val="000000" w:themeColor="text1"/>
          <w:sz w:val="32"/>
          <w:szCs w:val="32"/>
          <w14:textFill>
            <w14:solidFill>
              <w14:schemeClr w14:val="tx1"/>
            </w14:solidFill>
          </w14:textFill>
        </w:rPr>
        <w:t>万元。</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七、其他重要事项的情况</w:t>
      </w:r>
    </w:p>
    <w:p>
      <w:pPr>
        <w:spacing w:line="540" w:lineRule="exact"/>
        <w:ind w:firstLine="643" w:firstLineChars="200"/>
        <w:rPr>
          <w:rFonts w:ascii="楷体_GB2312" w:eastAsia="楷体_GB2312"/>
          <w:b/>
          <w:bCs/>
          <w:color w:val="000000" w:themeColor="text1"/>
          <w:sz w:val="32"/>
          <w:szCs w:val="32"/>
          <w14:textFill>
            <w14:solidFill>
              <w14:schemeClr w14:val="tx1"/>
            </w14:solidFill>
          </w14:textFill>
        </w:rPr>
      </w:pPr>
      <w:r>
        <w:rPr>
          <w:rFonts w:hint="eastAsia" w:ascii="楷体_GB2312" w:eastAsia="楷体_GB2312"/>
          <w:b/>
          <w:bCs/>
          <w:color w:val="000000" w:themeColor="text1"/>
          <w:sz w:val="32"/>
          <w:szCs w:val="32"/>
          <w14:textFill>
            <w14:solidFill>
              <w14:schemeClr w14:val="tx1"/>
            </w14:solidFill>
          </w14:textFill>
        </w:rPr>
        <w:t>（一）国有资产占用情况说明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91" w:name="OLE_LINK97"/>
      <w:r>
        <w:rPr>
          <w:rFonts w:hint="eastAsia" w:ascii="仿宋_GB2312" w:eastAsia="仿宋_GB2312"/>
          <w:color w:val="000000" w:themeColor="text1"/>
          <w:sz w:val="32"/>
          <w:szCs w:val="32"/>
          <w14:textFill>
            <w14:solidFill>
              <w14:schemeClr w14:val="tx1"/>
            </w14:solidFill>
          </w14:textFill>
        </w:rPr>
        <w:t>截至2018年12月31日，单位共有车辆</w:t>
      </w:r>
      <w:r>
        <w:rPr>
          <w:rFonts w:hint="eastAsia" w:ascii="仿宋_GB2312" w:eastAsia="仿宋_GB2312"/>
          <w:sz w:val="32"/>
          <w:szCs w:val="32"/>
        </w:rPr>
        <w:t>1</w:t>
      </w:r>
      <w:r>
        <w:rPr>
          <w:rFonts w:hint="eastAsia" w:ascii="仿宋_GB2312" w:eastAsia="仿宋_GB2312"/>
          <w:color w:val="000000" w:themeColor="text1"/>
          <w:sz w:val="32"/>
          <w:szCs w:val="32"/>
          <w14:textFill>
            <w14:solidFill>
              <w14:schemeClr w14:val="tx1"/>
            </w14:solidFill>
          </w14:textFill>
        </w:rPr>
        <w:t>辆，价值</w:t>
      </w:r>
      <w:r>
        <w:rPr>
          <w:rFonts w:hint="eastAsia" w:ascii="仿宋_GB2312" w:eastAsia="仿宋_GB2312"/>
          <w:sz w:val="32"/>
          <w:szCs w:val="32"/>
        </w:rPr>
        <w:t>19.08</w:t>
      </w:r>
      <w:r>
        <w:rPr>
          <w:rFonts w:hint="eastAsia" w:ascii="仿宋_GB2312" w:eastAsia="仿宋_GB2312"/>
          <w:color w:val="000000" w:themeColor="text1"/>
          <w:sz w:val="32"/>
          <w:szCs w:val="32"/>
          <w14:textFill>
            <w14:solidFill>
              <w14:schemeClr w14:val="tx1"/>
            </w14:solidFill>
          </w14:textFill>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辆、主要领导干部用车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辆、机要通信用车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辆、执法执勤用车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辆、其他用车</w:t>
      </w: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辆，其他用车主要是：</w:t>
      </w:r>
      <w:r>
        <w:rPr>
          <w:rFonts w:ascii="仿宋_GB2312" w:eastAsia="仿宋_GB2312"/>
          <w:color w:val="000000" w:themeColor="text1"/>
          <w:sz w:val="32"/>
          <w:szCs w:val="32"/>
          <w14:textFill>
            <w14:solidFill>
              <w14:schemeClr w14:val="tx1"/>
            </w14:solidFill>
          </w14:textFill>
        </w:rPr>
        <w:t>单位公务用车；</w:t>
      </w:r>
      <w:r>
        <w:rPr>
          <w:rFonts w:hint="eastAsia" w:ascii="仿宋_GB2312" w:eastAsia="仿宋_GB2312"/>
          <w:color w:val="000000" w:themeColor="text1"/>
          <w:sz w:val="32"/>
          <w:szCs w:val="32"/>
          <w14:textFill>
            <w14:solidFill>
              <w14:schemeClr w14:val="tx1"/>
            </w14:solidFill>
          </w14:textFill>
        </w:rPr>
        <w:t>单位价值50万元以上通用设备</w:t>
      </w:r>
      <w:r>
        <w:rPr>
          <w:rFonts w:hint="eastAsia" w:ascii="仿宋_GB2312" w:eastAsia="仿宋_GB2312"/>
          <w:sz w:val="32"/>
          <w:szCs w:val="32"/>
        </w:rPr>
        <w:t>1</w:t>
      </w:r>
      <w:r>
        <w:rPr>
          <w:rFonts w:hint="eastAsia" w:ascii="仿宋_GB2312" w:eastAsia="仿宋_GB2312"/>
          <w:color w:val="000000" w:themeColor="text1"/>
          <w:sz w:val="32"/>
          <w:szCs w:val="32"/>
          <w14:textFill>
            <w14:solidFill>
              <w14:schemeClr w14:val="tx1"/>
            </w14:solidFill>
          </w14:textFill>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旅游局2018年度部门预算总额为580.34万元，执行金额为580.34万元，预算执行率为100%。本次自评共涉及项目数9个，其中已完成项目9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英吉沙县科普馆及附属工程（施工）项目绩效自评综述：根据年初设定的绩效目标，该项目绩效自评得分为81分。项目全年预算数为19.04万元，执行数为19.04万元，完成预算的100%。主要产出和效果：按照项目进度，完成项目竣工验收工作。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2、英吉沙县小刀博物馆及附属工程（施工）项目绩效自评综述：根据年初设定的绩效目标，该项目绩效自评得分为80分。项目全年预算数为64.48万元，执行数为64.48万元，完成预算的100%。主要产出和效果：按照项目进度，完成项目竣工验收工作。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3、英吉沙县南湖旅游度假区入口服务区景观绿化及附属工程项目绩效自评综述：根据年初设定的绩效目标，该项目绩效自评得分为83分。项目全年预算数为175.73万元，执行数为175.73万元，完成预算的100%。主要产出和效果：按照项目进度，完成项目竣工验收工作。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4、英吉沙县南湖旅游度假区入口服务区建筑景观电力工程项目绩效自评综述：根据年初设定的绩效目标，该项目绩效自评得分为80分。项目全年预算数为181.16万元，执行数为181.16万元，完成预算的100%。主要产出和效果：按照项目进度，完成项目竣工验收工作。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5、英吉沙南湖旅游渡假区入口服务区修建性详细规划、景观工程和建筑工程项目绩效自评综述：根据年初设定的绩效目标，该项目绩效自评得分为85分。项目全年预算数为10万元，执行数为10万元，完成预算的100%。主要产出和效果：参与工程的竣工验收，签署竣工验收意见。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6、游客服务中心监理项目绩效自评综述：根据年初设定的绩效目标，该项目绩效自评得分为80分。项目全年预算数为3.61万元，执行数为3.61万元，完成预算的100%。主要产出和效果：按照项目进度，完成项目竣工验收工作。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7、南湖景区暖气费项目绩效自评综述：根据年初设定的绩效目标，该项目绩效自评得分为85分。项目全年预算数为15.78万元，执行数为15.78万元，完成预算的100%。主要产出和效果：增加景区冬季温度，提高游客参观的舒适度，同时防止景区地下管道破裂。发现的问题及原因：无。下一步改进措施： 进一步的做好景区冬季保暖工作。</w:t>
      </w:r>
    </w:p>
    <w:p>
      <w:pPr>
        <w:spacing w:line="540" w:lineRule="exact"/>
        <w:ind w:left="-1" w:right="-1" w:firstLine="646"/>
        <w:jc w:val="left"/>
      </w:pPr>
      <w:r>
        <w:rPr>
          <w:rFonts w:ascii="仿宋_GB2312" w:hAnsi="仿宋_GB2312" w:eastAsia="仿宋_GB2312" w:cs="仿宋_GB2312"/>
          <w:b w:val="0"/>
          <w:color w:val="000000"/>
          <w:sz w:val="32"/>
          <w:u w:val="none"/>
        </w:rPr>
        <w:t>8、南湖旅游区游客服务中心及附属工程（施工）项目绩效自评综述：根据年初设定的绩效目标，该项目绩效自评得分为80分。项目全年预算数为60.54万元，执行数为60.54万元，完成预算的100%。主要产出和效果：按照项目进度，完成项目竣工验收工作。发现的问题及原因：无。下一步改进措施： 无。</w:t>
      </w:r>
    </w:p>
    <w:p>
      <w:pPr>
        <w:spacing w:line="540" w:lineRule="exact"/>
        <w:ind w:left="-1" w:right="-1" w:firstLine="646"/>
        <w:jc w:val="left"/>
      </w:pPr>
      <w:r>
        <w:rPr>
          <w:rFonts w:ascii="仿宋_GB2312" w:hAnsi="仿宋_GB2312" w:eastAsia="仿宋_GB2312" w:cs="仿宋_GB2312"/>
          <w:b w:val="0"/>
          <w:color w:val="000000"/>
          <w:sz w:val="32"/>
          <w:u w:val="none"/>
        </w:rPr>
        <w:t>9、农家乐补助项目绩效自评综述：根据年初设定的绩效目标，该项目绩效自评得分为80分。项目全年预算数为50万元，执行数为50万元，完成预算的100%。主要产出和效果：目标1：厨房、储物间分开，总面积不低于20平米，贴地砖和墙砖，厨房配抽烟机、冰柜、消毒柜、烤肉架，有规范整洁的灶台案板。
目标2：餐厅面积不低于30平米，地面硬化、屋顶装修，配备容纳20人以上的桌椅、沙发茶几等，配有电视和音响。
目标3：卫生间面积为4-6平米，与家用卫生间分开，贴墙砖、地砖，建成水冲蹲/坐便器，配洗手池、美容镜，所有房屋均应安装玻璃和纱窗。
目标4：庭院面积为50平米以上，硬化、搭建凉棚、种葡萄架，有盆栽，后院栽植花草果树。
目标5：棚圈和生活区必须物理分离。
目标6：家中需养殖部分家禽、家畜，保持肉类供应。
目标7：家中要有1人以上会做特色饭菜，厨师工装统一，其余人员着装干净、整齐、美观。发现的问题及原因：因完工时为旅游淡季，因此未投入使用。下一步改进措施： 在旅游旺季时营业，增加农户的收入。</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本单位支出功能分类说明</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sz w:val="32"/>
          <w:szCs w:val="32"/>
        </w:rPr>
        <w:t>221（类）02（款）01（项）指：住房公积金。216（类）05（款）99（项）指：其他旅游业管理与服务支出。216（类）05（款）01（项）指：行政运行。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英吉沙县旅游局</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1211DCA"/>
    <w:rsid w:val="028847F9"/>
    <w:rsid w:val="03AA79F6"/>
    <w:rsid w:val="04741FE5"/>
    <w:rsid w:val="04DB02C7"/>
    <w:rsid w:val="06B856EE"/>
    <w:rsid w:val="07B52AFA"/>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B15F87"/>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DB73FB"/>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5B7C28"/>
    <w:rsid w:val="6F8D70FF"/>
    <w:rsid w:val="6FFE5011"/>
    <w:rsid w:val="7178734D"/>
    <w:rsid w:val="71791096"/>
    <w:rsid w:val="717B0C34"/>
    <w:rsid w:val="71FB78FD"/>
    <w:rsid w:val="7275064A"/>
    <w:rsid w:val="733F750B"/>
    <w:rsid w:val="735702E2"/>
    <w:rsid w:val="765F635A"/>
    <w:rsid w:val="76B73454"/>
    <w:rsid w:val="76D254BD"/>
    <w:rsid w:val="77727ACD"/>
    <w:rsid w:val="77DE1654"/>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ScaleCrop>false</ScaleCrop>
  <LinksUpToDate>false</LinksUpToDate>
  <CharactersWithSpaces>7696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2021-07-13T15:27:27Z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y fmtid="{D5CDD505-2E9C-101B-9397-08002B2CF9AE}" pid="3" name="ICV">
    <vt:lpwstr>12944E9E0FD24407B20A95CA1B6D2ED4</vt:lpwstr>
  </property>
</Properties>
</file>